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1F" w:rsidRPr="004954FE" w:rsidRDefault="00F93D1F" w:rsidP="004954FE">
      <w:pPr>
        <w:pStyle w:val="Heading1"/>
        <w:spacing w:before="120"/>
        <w:jc w:val="center"/>
        <w:rPr>
          <w:rFonts w:asciiTheme="minorHAnsi" w:hAnsiTheme="minorHAnsi"/>
          <w:sz w:val="48"/>
          <w:szCs w:val="48"/>
        </w:rPr>
      </w:pPr>
      <w:r w:rsidRPr="004954FE">
        <w:rPr>
          <w:noProof/>
          <w:sz w:val="48"/>
          <w:szCs w:val="48"/>
        </w:rPr>
        <w:drawing>
          <wp:anchor distT="0" distB="0" distL="114300" distR="114300" simplePos="0" relativeHeight="251658240" behindDoc="0" locked="0" layoutInCell="1" allowOverlap="1">
            <wp:simplePos x="0" y="0"/>
            <wp:positionH relativeFrom="column">
              <wp:posOffset>19050</wp:posOffset>
            </wp:positionH>
            <wp:positionV relativeFrom="paragraph">
              <wp:posOffset>-273685</wp:posOffset>
            </wp:positionV>
            <wp:extent cx="5939155" cy="1151890"/>
            <wp:effectExtent l="19050" t="0" r="4445" b="0"/>
            <wp:wrapTopAndBottom/>
            <wp:docPr id="10" name="Picture 9" descr="blue logo w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 w tagline.jpg"/>
                    <pic:cNvPicPr/>
                  </pic:nvPicPr>
                  <pic:blipFill>
                    <a:blip r:embed="rId6" cstate="print"/>
                    <a:stretch>
                      <a:fillRect/>
                    </a:stretch>
                  </pic:blipFill>
                  <pic:spPr>
                    <a:xfrm>
                      <a:off x="0" y="0"/>
                      <a:ext cx="5939155" cy="1151890"/>
                    </a:xfrm>
                    <a:prstGeom prst="rect">
                      <a:avLst/>
                    </a:prstGeom>
                  </pic:spPr>
                </pic:pic>
              </a:graphicData>
            </a:graphic>
          </wp:anchor>
        </w:drawing>
      </w:r>
      <w:r w:rsidR="00411437" w:rsidRPr="004954FE">
        <w:rPr>
          <w:sz w:val="48"/>
          <w:szCs w:val="48"/>
        </w:rPr>
        <w:t>Guide to Corporate Law</w:t>
      </w:r>
      <w:r w:rsidR="00913B80" w:rsidRPr="004954FE">
        <w:rPr>
          <w:sz w:val="48"/>
          <w:szCs w:val="48"/>
        </w:rPr>
        <w:t xml:space="preserve"> Resources</w:t>
      </w:r>
    </w:p>
    <w:p w:rsidR="009247ED" w:rsidRPr="00F93D1F" w:rsidRDefault="005E35CF" w:rsidP="00F93D1F">
      <w:pPr>
        <w:pStyle w:val="Heading1"/>
        <w:spacing w:before="120"/>
        <w:rPr>
          <w:sz w:val="32"/>
          <w:szCs w:val="32"/>
        </w:rPr>
      </w:pPr>
      <w:r w:rsidRPr="00F93D1F">
        <w:rPr>
          <w:sz w:val="32"/>
          <w:szCs w:val="32"/>
        </w:rPr>
        <w:t xml:space="preserve">Annotated </w:t>
      </w:r>
      <w:r w:rsidR="004676D4" w:rsidRPr="00F93D1F">
        <w:rPr>
          <w:sz w:val="32"/>
          <w:szCs w:val="32"/>
        </w:rPr>
        <w:t>Statutes</w:t>
      </w:r>
      <w:r w:rsidR="00913B80" w:rsidRPr="00F93D1F">
        <w:rPr>
          <w:sz w:val="32"/>
          <w:szCs w:val="32"/>
        </w:rPr>
        <w:t xml:space="preserve">: </w:t>
      </w:r>
    </w:p>
    <w:tbl>
      <w:tblPr>
        <w:tblStyle w:val="LightList-Accent1"/>
        <w:tblW w:w="0" w:type="auto"/>
        <w:tblLook w:val="04A0"/>
      </w:tblPr>
      <w:tblGrid>
        <w:gridCol w:w="2268"/>
        <w:gridCol w:w="1890"/>
        <w:gridCol w:w="5418"/>
      </w:tblGrid>
      <w:tr w:rsidR="00F014A1" w:rsidRPr="006C403A" w:rsidTr="00F93D1F">
        <w:trPr>
          <w:cnfStyle w:val="100000000000"/>
        </w:trPr>
        <w:tc>
          <w:tcPr>
            <w:cnfStyle w:val="001000000000"/>
            <w:tcW w:w="2268" w:type="dxa"/>
          </w:tcPr>
          <w:p w:rsidR="00F014A1" w:rsidRPr="00F93D1F" w:rsidRDefault="00F014A1" w:rsidP="0084151C">
            <w:pPr>
              <w:jc w:val="center"/>
              <w:rPr>
                <w:rFonts w:asciiTheme="majorHAnsi" w:hAnsiTheme="majorHAnsi"/>
                <w:b w:val="0"/>
                <w:sz w:val="28"/>
                <w:szCs w:val="28"/>
              </w:rPr>
            </w:pPr>
            <w:r w:rsidRPr="00F93D1F">
              <w:rPr>
                <w:rFonts w:asciiTheme="majorHAnsi" w:hAnsiTheme="majorHAnsi"/>
                <w:sz w:val="28"/>
                <w:szCs w:val="28"/>
              </w:rPr>
              <w:t>Title</w:t>
            </w:r>
          </w:p>
        </w:tc>
        <w:tc>
          <w:tcPr>
            <w:tcW w:w="1890" w:type="dxa"/>
          </w:tcPr>
          <w:p w:rsidR="00F014A1" w:rsidRPr="00F93D1F" w:rsidRDefault="00F014A1" w:rsidP="0084151C">
            <w:pPr>
              <w:jc w:val="center"/>
              <w:cnfStyle w:val="100000000000"/>
              <w:rPr>
                <w:rFonts w:asciiTheme="majorHAnsi" w:hAnsiTheme="majorHAnsi"/>
                <w:b w:val="0"/>
                <w:sz w:val="28"/>
                <w:szCs w:val="28"/>
              </w:rPr>
            </w:pPr>
            <w:r w:rsidRPr="00F93D1F">
              <w:rPr>
                <w:rFonts w:asciiTheme="majorHAnsi" w:hAnsiTheme="majorHAnsi"/>
                <w:sz w:val="28"/>
                <w:szCs w:val="28"/>
              </w:rPr>
              <w:t>Location</w:t>
            </w:r>
          </w:p>
        </w:tc>
        <w:tc>
          <w:tcPr>
            <w:tcW w:w="5418" w:type="dxa"/>
          </w:tcPr>
          <w:p w:rsidR="00F014A1" w:rsidRPr="00F93D1F" w:rsidRDefault="00F014A1" w:rsidP="0084151C">
            <w:pPr>
              <w:jc w:val="center"/>
              <w:cnfStyle w:val="100000000000"/>
              <w:rPr>
                <w:rFonts w:asciiTheme="majorHAnsi" w:hAnsiTheme="majorHAnsi"/>
                <w:b w:val="0"/>
                <w:sz w:val="28"/>
                <w:szCs w:val="28"/>
              </w:rPr>
            </w:pPr>
            <w:r w:rsidRPr="00F93D1F">
              <w:rPr>
                <w:rFonts w:asciiTheme="majorHAnsi" w:hAnsiTheme="majorHAnsi"/>
                <w:sz w:val="28"/>
                <w:szCs w:val="28"/>
              </w:rPr>
              <w:t>Description</w:t>
            </w:r>
          </w:p>
        </w:tc>
      </w:tr>
      <w:tr w:rsidR="00F014A1" w:rsidRPr="006C403A" w:rsidTr="004954FE">
        <w:trPr>
          <w:cnfStyle w:val="000000100000"/>
          <w:trHeight w:val="2509"/>
        </w:trPr>
        <w:tc>
          <w:tcPr>
            <w:cnfStyle w:val="001000000000"/>
            <w:tcW w:w="2268" w:type="dxa"/>
          </w:tcPr>
          <w:p w:rsidR="00F014A1" w:rsidRPr="004954FE" w:rsidRDefault="00F014A1">
            <w:pPr>
              <w:rPr>
                <w:rFonts w:cstheme="minorHAnsi"/>
                <w:sz w:val="21"/>
                <w:szCs w:val="21"/>
              </w:rPr>
            </w:pPr>
            <w:r w:rsidRPr="004954FE">
              <w:rPr>
                <w:rFonts w:cstheme="minorHAnsi"/>
                <w:sz w:val="21"/>
                <w:szCs w:val="21"/>
              </w:rPr>
              <w:t>Vernon’s Texas</w:t>
            </w:r>
            <w:r w:rsidR="006C403A" w:rsidRPr="004954FE">
              <w:rPr>
                <w:rFonts w:cstheme="minorHAnsi"/>
                <w:sz w:val="21"/>
                <w:szCs w:val="21"/>
              </w:rPr>
              <w:t xml:space="preserve"> Statutes and</w:t>
            </w:r>
            <w:r w:rsidRPr="004954FE">
              <w:rPr>
                <w:rFonts w:cstheme="minorHAnsi"/>
                <w:sz w:val="21"/>
                <w:szCs w:val="21"/>
              </w:rPr>
              <w:t xml:space="preserve"> Code</w:t>
            </w:r>
            <w:r w:rsidR="006C403A" w:rsidRPr="004954FE">
              <w:rPr>
                <w:rFonts w:cstheme="minorHAnsi"/>
                <w:sz w:val="21"/>
                <w:szCs w:val="21"/>
              </w:rPr>
              <w:t>s</w:t>
            </w:r>
            <w:r w:rsidRPr="004954FE">
              <w:rPr>
                <w:rFonts w:cstheme="minorHAnsi"/>
                <w:sz w:val="21"/>
                <w:szCs w:val="21"/>
              </w:rPr>
              <w:t xml:space="preserve"> Annotated</w:t>
            </w:r>
          </w:p>
          <w:p w:rsidR="00F014A1" w:rsidRPr="004954FE" w:rsidRDefault="00F014A1">
            <w:pPr>
              <w:rPr>
                <w:rFonts w:cstheme="minorHAnsi"/>
                <w:sz w:val="21"/>
                <w:szCs w:val="21"/>
              </w:rPr>
            </w:pPr>
            <w:r w:rsidRPr="004954FE">
              <w:rPr>
                <w:rFonts w:cstheme="minorHAnsi"/>
                <w:noProof/>
                <w:sz w:val="21"/>
                <w:szCs w:val="21"/>
              </w:rPr>
              <w:drawing>
                <wp:inline distT="0" distB="0" distL="0" distR="0">
                  <wp:extent cx="1060450" cy="1249008"/>
                  <wp:effectExtent l="19050" t="0" r="6350" b="0"/>
                  <wp:docPr id="2" name="ctl00_placeHolderTopNavigation_placeHolderContent_ctl00_productImage" descr="Vernon's&amp;#174; Texas Statutes and Codes Annotated (Annotated Statute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TopNavigation_placeHolderContent_ctl00_productImage" descr="Vernon's&amp;#174; Texas Statutes and Codes Annotated (Annotated Statute &amp;..."/>
                          <pic:cNvPicPr>
                            <a:picLocks noChangeAspect="1" noChangeArrowheads="1"/>
                          </pic:cNvPicPr>
                        </pic:nvPicPr>
                        <pic:blipFill>
                          <a:blip r:embed="rId7" cstate="print"/>
                          <a:srcRect/>
                          <a:stretch>
                            <a:fillRect/>
                          </a:stretch>
                        </pic:blipFill>
                        <pic:spPr bwMode="auto">
                          <a:xfrm>
                            <a:off x="0" y="0"/>
                            <a:ext cx="1067462" cy="1257267"/>
                          </a:xfrm>
                          <a:prstGeom prst="rect">
                            <a:avLst/>
                          </a:prstGeom>
                          <a:noFill/>
                          <a:ln w="9525">
                            <a:noFill/>
                            <a:miter lim="800000"/>
                            <a:headEnd/>
                            <a:tailEnd/>
                          </a:ln>
                        </pic:spPr>
                      </pic:pic>
                    </a:graphicData>
                  </a:graphic>
                </wp:inline>
              </w:drawing>
            </w:r>
          </w:p>
        </w:tc>
        <w:tc>
          <w:tcPr>
            <w:tcW w:w="1890" w:type="dxa"/>
          </w:tcPr>
          <w:p w:rsidR="00F014A1" w:rsidRPr="004954FE" w:rsidRDefault="00F014A1">
            <w:pPr>
              <w:cnfStyle w:val="000000100000"/>
              <w:rPr>
                <w:rFonts w:cstheme="minorHAnsi"/>
                <w:sz w:val="21"/>
                <w:szCs w:val="21"/>
              </w:rPr>
            </w:pPr>
            <w:r w:rsidRPr="004954FE">
              <w:rPr>
                <w:rFonts w:cstheme="minorHAnsi"/>
                <w:sz w:val="21"/>
                <w:szCs w:val="21"/>
              </w:rPr>
              <w:t xml:space="preserve">Circulation Desk &amp; </w:t>
            </w:r>
          </w:p>
          <w:p w:rsidR="00F014A1" w:rsidRPr="004954FE" w:rsidRDefault="00B35D0F" w:rsidP="00B35D0F">
            <w:pPr>
              <w:cnfStyle w:val="000000100000"/>
              <w:rPr>
                <w:rFonts w:cstheme="minorHAnsi"/>
                <w:sz w:val="21"/>
                <w:szCs w:val="21"/>
              </w:rPr>
            </w:pPr>
            <w:r w:rsidRPr="004954FE">
              <w:rPr>
                <w:rFonts w:cstheme="minorHAnsi"/>
                <w:sz w:val="21"/>
                <w:szCs w:val="21"/>
              </w:rPr>
              <w:t>1</w:t>
            </w:r>
            <w:r w:rsidRPr="004954FE">
              <w:rPr>
                <w:rFonts w:cstheme="minorHAnsi"/>
                <w:sz w:val="21"/>
                <w:szCs w:val="21"/>
                <w:vertAlign w:val="superscript"/>
              </w:rPr>
              <w:t>st</w:t>
            </w:r>
            <w:r w:rsidRPr="004954FE">
              <w:rPr>
                <w:rFonts w:cstheme="minorHAnsi"/>
                <w:sz w:val="21"/>
                <w:szCs w:val="21"/>
              </w:rPr>
              <w:t xml:space="preserve"> Floor </w:t>
            </w:r>
            <w:r w:rsidR="00F014A1" w:rsidRPr="004954FE">
              <w:rPr>
                <w:rFonts w:cstheme="minorHAnsi"/>
                <w:sz w:val="21"/>
                <w:szCs w:val="21"/>
              </w:rPr>
              <w:t>Reading Room</w:t>
            </w:r>
            <w:r w:rsidRPr="004954FE">
              <w:rPr>
                <w:rFonts w:cstheme="minorHAnsi"/>
                <w:sz w:val="21"/>
                <w:szCs w:val="21"/>
              </w:rPr>
              <w:t xml:space="preserve"> (112)</w:t>
            </w:r>
          </w:p>
        </w:tc>
        <w:tc>
          <w:tcPr>
            <w:tcW w:w="5418" w:type="dxa"/>
          </w:tcPr>
          <w:p w:rsidR="00F014A1" w:rsidRPr="004954FE" w:rsidRDefault="00F014A1" w:rsidP="009C39FF">
            <w:pPr>
              <w:cnfStyle w:val="000000100000"/>
              <w:rPr>
                <w:rFonts w:cstheme="minorHAnsi"/>
                <w:sz w:val="21"/>
                <w:szCs w:val="21"/>
              </w:rPr>
            </w:pPr>
            <w:r w:rsidRPr="004954FE">
              <w:rPr>
                <w:rFonts w:cstheme="minorHAnsi"/>
                <w:i/>
                <w:sz w:val="21"/>
                <w:szCs w:val="21"/>
              </w:rPr>
              <w:t>The</w:t>
            </w:r>
            <w:r w:rsidRPr="004954FE">
              <w:rPr>
                <w:rFonts w:cstheme="minorHAnsi"/>
                <w:sz w:val="21"/>
                <w:szCs w:val="21"/>
              </w:rPr>
              <w:t xml:space="preserve"> annotated code for the State of Texas, featuring</w:t>
            </w:r>
            <w:r w:rsidR="009C39FF">
              <w:rPr>
                <w:rFonts w:cstheme="minorHAnsi"/>
                <w:sz w:val="21"/>
                <w:szCs w:val="21"/>
              </w:rPr>
              <w:t xml:space="preserve"> extensive annotations</w:t>
            </w:r>
            <w:r w:rsidR="006C403A" w:rsidRPr="004954FE">
              <w:rPr>
                <w:rFonts w:cstheme="minorHAnsi"/>
                <w:sz w:val="21"/>
                <w:szCs w:val="21"/>
              </w:rPr>
              <w:t xml:space="preserve"> </w:t>
            </w:r>
            <w:r w:rsidR="009C39FF">
              <w:rPr>
                <w:rFonts w:cstheme="minorHAnsi"/>
                <w:sz w:val="21"/>
                <w:szCs w:val="21"/>
              </w:rPr>
              <w:t>referencing relevant caselaw and regulations, as well as</w:t>
            </w:r>
            <w:r w:rsidR="00E42C09" w:rsidRPr="004954FE">
              <w:rPr>
                <w:rFonts w:cstheme="minorHAnsi"/>
                <w:sz w:val="21"/>
                <w:szCs w:val="21"/>
              </w:rPr>
              <w:t xml:space="preserve"> formbooks, treatises and other</w:t>
            </w:r>
            <w:r w:rsidRPr="004954FE">
              <w:rPr>
                <w:rFonts w:cstheme="minorHAnsi"/>
                <w:sz w:val="21"/>
                <w:szCs w:val="21"/>
              </w:rPr>
              <w:t xml:space="preserve"> secondary resources</w:t>
            </w:r>
            <w:r w:rsidR="00B0402B" w:rsidRPr="004954FE">
              <w:rPr>
                <w:rFonts w:cstheme="minorHAnsi"/>
                <w:sz w:val="21"/>
                <w:szCs w:val="21"/>
              </w:rPr>
              <w:t xml:space="preserve">. </w:t>
            </w:r>
            <w:r w:rsidR="006C403A" w:rsidRPr="004954FE">
              <w:rPr>
                <w:rFonts w:cstheme="minorHAnsi"/>
                <w:sz w:val="21"/>
                <w:szCs w:val="21"/>
              </w:rPr>
              <w:t xml:space="preserve">Topical indexes are </w:t>
            </w:r>
            <w:r w:rsidR="00885F42" w:rsidRPr="004954FE">
              <w:rPr>
                <w:rFonts w:cstheme="minorHAnsi"/>
                <w:sz w:val="21"/>
                <w:szCs w:val="21"/>
              </w:rPr>
              <w:t>helpful</w:t>
            </w:r>
            <w:r w:rsidR="006C403A" w:rsidRPr="004954FE">
              <w:rPr>
                <w:rFonts w:cstheme="minorHAnsi"/>
                <w:sz w:val="21"/>
                <w:szCs w:val="21"/>
              </w:rPr>
              <w:t xml:space="preserve"> if the researcher is certain they are searching in the right area</w:t>
            </w:r>
            <w:r w:rsidR="00285563" w:rsidRPr="004954FE">
              <w:rPr>
                <w:rFonts w:cstheme="minorHAnsi"/>
                <w:sz w:val="21"/>
                <w:szCs w:val="21"/>
              </w:rPr>
              <w:t xml:space="preserve"> of </w:t>
            </w:r>
            <w:r w:rsidR="00CD1D8F" w:rsidRPr="004954FE">
              <w:rPr>
                <w:rFonts w:cstheme="minorHAnsi"/>
                <w:sz w:val="21"/>
                <w:szCs w:val="21"/>
              </w:rPr>
              <w:t>law</w:t>
            </w:r>
            <w:r w:rsidR="006C403A" w:rsidRPr="004954FE">
              <w:rPr>
                <w:rFonts w:cstheme="minorHAnsi"/>
                <w:sz w:val="21"/>
                <w:szCs w:val="21"/>
              </w:rPr>
              <w:t xml:space="preserve">, otherwise it may be </w:t>
            </w:r>
            <w:r w:rsidR="00285563" w:rsidRPr="004954FE">
              <w:rPr>
                <w:rFonts w:cstheme="minorHAnsi"/>
                <w:sz w:val="21"/>
                <w:szCs w:val="21"/>
              </w:rPr>
              <w:t>advisable</w:t>
            </w:r>
            <w:r w:rsidR="006C403A" w:rsidRPr="004954FE">
              <w:rPr>
                <w:rFonts w:cstheme="minorHAnsi"/>
                <w:sz w:val="21"/>
                <w:szCs w:val="21"/>
              </w:rPr>
              <w:t xml:space="preserve"> to use the multi-volume general index at the end of the set.  </w:t>
            </w:r>
            <w:r w:rsidR="00285563" w:rsidRPr="004954FE">
              <w:rPr>
                <w:rFonts w:cstheme="minorHAnsi"/>
                <w:sz w:val="21"/>
                <w:szCs w:val="21"/>
              </w:rPr>
              <w:t>Vernon’s is a</w:t>
            </w:r>
            <w:r w:rsidR="00885F42" w:rsidRPr="004954FE">
              <w:rPr>
                <w:rFonts w:cstheme="minorHAnsi"/>
                <w:sz w:val="21"/>
                <w:szCs w:val="21"/>
              </w:rPr>
              <w:t>lso a</w:t>
            </w:r>
            <w:r w:rsidR="006C403A" w:rsidRPr="004954FE">
              <w:rPr>
                <w:rFonts w:cstheme="minorHAnsi"/>
                <w:sz w:val="21"/>
                <w:szCs w:val="21"/>
              </w:rPr>
              <w:t xml:space="preserve">vailable on Westlaw </w:t>
            </w:r>
            <w:r w:rsidR="00885F42" w:rsidRPr="004954FE">
              <w:rPr>
                <w:rFonts w:cstheme="minorHAnsi"/>
                <w:sz w:val="21"/>
                <w:szCs w:val="21"/>
              </w:rPr>
              <w:t>(</w:t>
            </w:r>
            <w:hyperlink r:id="rId8" w:history="1">
              <w:r w:rsidR="00885F42" w:rsidRPr="0061317E">
                <w:rPr>
                  <w:rStyle w:val="Hyperlink"/>
                  <w:rFonts w:cstheme="minorHAnsi"/>
                  <w:color w:val="2828FF" w:themeColor="text2" w:themeTint="99"/>
                  <w:sz w:val="21"/>
                  <w:szCs w:val="21"/>
                </w:rPr>
                <w:t>TX-ST-ANN</w:t>
              </w:r>
            </w:hyperlink>
            <w:r w:rsidR="00885F42" w:rsidRPr="004954FE">
              <w:rPr>
                <w:rFonts w:cstheme="minorHAnsi"/>
                <w:sz w:val="21"/>
                <w:szCs w:val="21"/>
              </w:rPr>
              <w:t>)</w:t>
            </w:r>
            <w:r w:rsidR="00CD1D8F" w:rsidRPr="004954FE">
              <w:rPr>
                <w:rFonts w:cstheme="minorHAnsi"/>
                <w:sz w:val="21"/>
                <w:szCs w:val="21"/>
              </w:rPr>
              <w:t xml:space="preserve"> while </w:t>
            </w:r>
            <w:r w:rsidR="00685B88" w:rsidRPr="004954FE">
              <w:rPr>
                <w:rFonts w:cstheme="minorHAnsi"/>
                <w:sz w:val="21"/>
                <w:szCs w:val="21"/>
              </w:rPr>
              <w:t xml:space="preserve">Lexis’ </w:t>
            </w:r>
            <w:r w:rsidR="00CD1D8F" w:rsidRPr="004954FE">
              <w:rPr>
                <w:rFonts w:cstheme="minorHAnsi"/>
                <w:sz w:val="21"/>
                <w:szCs w:val="21"/>
              </w:rPr>
              <w:t>version of the Texas</w:t>
            </w:r>
            <w:r w:rsidR="00FC3E06" w:rsidRPr="004954FE">
              <w:rPr>
                <w:rFonts w:cstheme="minorHAnsi"/>
                <w:sz w:val="21"/>
                <w:szCs w:val="21"/>
              </w:rPr>
              <w:t xml:space="preserve"> Statutes and Codes can be found on Lexis</w:t>
            </w:r>
            <w:r w:rsidR="00685B88" w:rsidRPr="004954FE">
              <w:rPr>
                <w:rFonts w:cstheme="minorHAnsi"/>
                <w:sz w:val="21"/>
                <w:szCs w:val="21"/>
              </w:rPr>
              <w:t>-Nexis</w:t>
            </w:r>
            <w:r w:rsidR="00FC3E06" w:rsidRPr="004954FE">
              <w:rPr>
                <w:rFonts w:cstheme="minorHAnsi"/>
                <w:sz w:val="21"/>
                <w:szCs w:val="21"/>
              </w:rPr>
              <w:t xml:space="preserve"> (</w:t>
            </w:r>
            <w:hyperlink r:id="rId9" w:history="1">
              <w:r w:rsidR="00FC3E06" w:rsidRPr="0061317E">
                <w:rPr>
                  <w:rStyle w:val="Hyperlink"/>
                  <w:rFonts w:cstheme="minorHAnsi"/>
                  <w:color w:val="2828FF" w:themeColor="text2" w:themeTint="99"/>
                  <w:sz w:val="21"/>
                  <w:szCs w:val="21"/>
                </w:rPr>
                <w:t>CODE</w:t>
              </w:r>
            </w:hyperlink>
            <w:r w:rsidR="00FC3E06" w:rsidRPr="004954FE">
              <w:rPr>
                <w:rFonts w:cstheme="minorHAnsi"/>
                <w:sz w:val="21"/>
                <w:szCs w:val="21"/>
              </w:rPr>
              <w:t>)</w:t>
            </w:r>
          </w:p>
        </w:tc>
      </w:tr>
      <w:tr w:rsidR="00F014A1" w:rsidRPr="006C403A" w:rsidTr="00F93D1F">
        <w:trPr>
          <w:trHeight w:val="2330"/>
        </w:trPr>
        <w:tc>
          <w:tcPr>
            <w:cnfStyle w:val="001000000000"/>
            <w:tcW w:w="2268" w:type="dxa"/>
          </w:tcPr>
          <w:p w:rsidR="00FA5683" w:rsidRPr="004954FE" w:rsidRDefault="00885F42">
            <w:pPr>
              <w:rPr>
                <w:rFonts w:cstheme="minorHAnsi"/>
                <w:sz w:val="21"/>
                <w:szCs w:val="21"/>
              </w:rPr>
            </w:pPr>
            <w:r w:rsidRPr="004954FE">
              <w:rPr>
                <w:rFonts w:cstheme="minorHAnsi"/>
                <w:sz w:val="21"/>
                <w:szCs w:val="21"/>
              </w:rPr>
              <w:t>O’Connor’s Business Organizations Code Plus</w:t>
            </w:r>
            <w:r w:rsidR="00FA5683" w:rsidRPr="004954FE">
              <w:rPr>
                <w:rFonts w:cstheme="minorHAnsi"/>
                <w:sz w:val="21"/>
                <w:szCs w:val="21"/>
              </w:rPr>
              <w:t xml:space="preserve"> / Business &amp; Commerce Code Plus</w:t>
            </w:r>
          </w:p>
          <w:p w:rsidR="00FA5683" w:rsidRPr="004954FE" w:rsidRDefault="00FA5683" w:rsidP="00FA5683">
            <w:pPr>
              <w:rPr>
                <w:rFonts w:cstheme="minorHAnsi"/>
                <w:sz w:val="21"/>
                <w:szCs w:val="21"/>
              </w:rPr>
            </w:pPr>
            <w:r w:rsidRPr="004954FE">
              <w:rPr>
                <w:rFonts w:cstheme="minorHAnsi"/>
                <w:noProof/>
                <w:sz w:val="21"/>
                <w:szCs w:val="21"/>
              </w:rPr>
              <w:drawing>
                <wp:inline distT="0" distB="0" distL="0" distR="0">
                  <wp:extent cx="573534" cy="752475"/>
                  <wp:effectExtent l="19050" t="0" r="0" b="0"/>
                  <wp:docPr id="3" name="Picture 4" descr="O'Connor's Business Organizations Code Plus 20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onnor's Business Organizations Code Plus 2011-2012"/>
                          <pic:cNvPicPr>
                            <a:picLocks noChangeAspect="1" noChangeArrowheads="1"/>
                          </pic:cNvPicPr>
                        </pic:nvPicPr>
                        <pic:blipFill>
                          <a:blip r:embed="rId10" cstate="print"/>
                          <a:srcRect/>
                          <a:stretch>
                            <a:fillRect/>
                          </a:stretch>
                        </pic:blipFill>
                        <pic:spPr bwMode="auto">
                          <a:xfrm>
                            <a:off x="0" y="0"/>
                            <a:ext cx="573534" cy="752475"/>
                          </a:xfrm>
                          <a:prstGeom prst="rect">
                            <a:avLst/>
                          </a:prstGeom>
                          <a:noFill/>
                          <a:ln w="9525">
                            <a:noFill/>
                            <a:miter lim="800000"/>
                            <a:headEnd/>
                            <a:tailEnd/>
                          </a:ln>
                        </pic:spPr>
                      </pic:pic>
                    </a:graphicData>
                  </a:graphic>
                </wp:inline>
              </w:drawing>
            </w:r>
            <w:r w:rsidRPr="004954FE">
              <w:rPr>
                <w:rFonts w:cstheme="minorHAnsi"/>
                <w:sz w:val="21"/>
                <w:szCs w:val="21"/>
              </w:rPr>
              <w:t xml:space="preserve">  </w:t>
            </w:r>
            <w:r w:rsidRPr="004954FE">
              <w:rPr>
                <w:rFonts w:cstheme="minorHAnsi"/>
                <w:noProof/>
                <w:sz w:val="21"/>
                <w:szCs w:val="21"/>
              </w:rPr>
              <w:drawing>
                <wp:inline distT="0" distB="0" distL="0" distR="0">
                  <wp:extent cx="574257" cy="752475"/>
                  <wp:effectExtent l="19050" t="0" r="0" b="0"/>
                  <wp:docPr id="5" name="Picture 13" descr="O'Connor's Business &amp; Commerce Code Plus 2011-20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Connor's Business &amp; Commerce Code Plus 2011-2012">
                            <a:hlinkClick r:id="rId11"/>
                          </pic:cNvPr>
                          <pic:cNvPicPr>
                            <a:picLocks noChangeAspect="1" noChangeArrowheads="1"/>
                          </pic:cNvPicPr>
                        </pic:nvPicPr>
                        <pic:blipFill>
                          <a:blip r:embed="rId12" cstate="print"/>
                          <a:srcRect/>
                          <a:stretch>
                            <a:fillRect/>
                          </a:stretch>
                        </pic:blipFill>
                        <pic:spPr bwMode="auto">
                          <a:xfrm>
                            <a:off x="0" y="0"/>
                            <a:ext cx="574257" cy="752475"/>
                          </a:xfrm>
                          <a:prstGeom prst="rect">
                            <a:avLst/>
                          </a:prstGeom>
                          <a:noFill/>
                          <a:ln w="9525">
                            <a:noFill/>
                            <a:miter lim="800000"/>
                            <a:headEnd/>
                            <a:tailEnd/>
                          </a:ln>
                        </pic:spPr>
                      </pic:pic>
                    </a:graphicData>
                  </a:graphic>
                </wp:inline>
              </w:drawing>
            </w:r>
          </w:p>
        </w:tc>
        <w:tc>
          <w:tcPr>
            <w:tcW w:w="1890" w:type="dxa"/>
          </w:tcPr>
          <w:p w:rsidR="00F014A1" w:rsidRPr="004954FE" w:rsidRDefault="00B0402B">
            <w:pPr>
              <w:cnfStyle w:val="000000000000"/>
              <w:rPr>
                <w:rFonts w:cstheme="minorHAnsi"/>
                <w:sz w:val="21"/>
                <w:szCs w:val="21"/>
              </w:rPr>
            </w:pPr>
            <w:r w:rsidRPr="004954FE">
              <w:rPr>
                <w:rFonts w:cstheme="minorHAnsi"/>
                <w:sz w:val="21"/>
                <w:szCs w:val="21"/>
              </w:rPr>
              <w:t>Circulation Desk</w:t>
            </w:r>
          </w:p>
          <w:p w:rsidR="00FA5683" w:rsidRPr="004954FE" w:rsidRDefault="00FA5683">
            <w:pPr>
              <w:cnfStyle w:val="000000000000"/>
              <w:rPr>
                <w:rFonts w:cstheme="minorHAnsi"/>
                <w:sz w:val="21"/>
                <w:szCs w:val="21"/>
              </w:rPr>
            </w:pPr>
            <w:r w:rsidRPr="004954FE">
              <w:rPr>
                <w:rFonts w:cstheme="minorHAnsi"/>
                <w:sz w:val="21"/>
                <w:szCs w:val="21"/>
              </w:rPr>
              <w:t xml:space="preserve">KFT1407 .A3 </w:t>
            </w:r>
            <w:r w:rsidR="00472D62" w:rsidRPr="004954FE">
              <w:rPr>
                <w:rFonts w:cstheme="minorHAnsi"/>
                <w:sz w:val="21"/>
                <w:szCs w:val="21"/>
              </w:rPr>
              <w:t>/</w:t>
            </w:r>
          </w:p>
          <w:p w:rsidR="00FA5683" w:rsidRPr="004954FE" w:rsidRDefault="00FA5683">
            <w:pPr>
              <w:cnfStyle w:val="000000000000"/>
              <w:rPr>
                <w:rFonts w:cstheme="minorHAnsi"/>
                <w:sz w:val="21"/>
                <w:szCs w:val="21"/>
              </w:rPr>
            </w:pPr>
            <w:r w:rsidRPr="004954FE">
              <w:rPr>
                <w:rFonts w:cstheme="minorHAnsi"/>
                <w:sz w:val="21"/>
                <w:szCs w:val="21"/>
              </w:rPr>
              <w:t>KFT1352 .A33</w:t>
            </w:r>
          </w:p>
        </w:tc>
        <w:tc>
          <w:tcPr>
            <w:tcW w:w="5418" w:type="dxa"/>
          </w:tcPr>
          <w:p w:rsidR="00F014A1" w:rsidRPr="004954FE" w:rsidRDefault="00885F42" w:rsidP="008F68FE">
            <w:pPr>
              <w:cnfStyle w:val="000000000000"/>
              <w:rPr>
                <w:rFonts w:cstheme="minorHAnsi"/>
                <w:sz w:val="21"/>
                <w:szCs w:val="21"/>
              </w:rPr>
            </w:pPr>
            <w:r w:rsidRPr="004954FE">
              <w:rPr>
                <w:rFonts w:cstheme="minorHAnsi"/>
                <w:sz w:val="21"/>
                <w:szCs w:val="21"/>
              </w:rPr>
              <w:t xml:space="preserve">A favorite of practitioners, these single volume </w:t>
            </w:r>
            <w:r w:rsidR="008F68FE" w:rsidRPr="004954FE">
              <w:rPr>
                <w:rFonts w:cstheme="minorHAnsi"/>
                <w:sz w:val="21"/>
                <w:szCs w:val="21"/>
              </w:rPr>
              <w:t>annotated codes</w:t>
            </w:r>
            <w:r w:rsidRPr="004954FE">
              <w:rPr>
                <w:rFonts w:cstheme="minorHAnsi"/>
                <w:sz w:val="21"/>
                <w:szCs w:val="21"/>
              </w:rPr>
              <w:t xml:space="preserve"> contain statutory text organized into subject area</w:t>
            </w:r>
            <w:r w:rsidR="00B0402B" w:rsidRPr="004954FE">
              <w:rPr>
                <w:rFonts w:cstheme="minorHAnsi"/>
                <w:sz w:val="21"/>
                <w:szCs w:val="21"/>
              </w:rPr>
              <w:t>, along with</w:t>
            </w:r>
            <w:r w:rsidRPr="004954FE">
              <w:rPr>
                <w:rFonts w:cstheme="minorHAnsi"/>
                <w:sz w:val="21"/>
                <w:szCs w:val="21"/>
              </w:rPr>
              <w:t xml:space="preserve"> </w:t>
            </w:r>
            <w:r w:rsidR="00B0402B" w:rsidRPr="004954FE">
              <w:rPr>
                <w:rFonts w:cstheme="minorHAnsi"/>
                <w:sz w:val="21"/>
                <w:szCs w:val="21"/>
              </w:rPr>
              <w:t xml:space="preserve">quotations from relevant cases. The Business Organizations Code Plus features the entire BOC along with other statutes and regulations relating to corporate practice. </w:t>
            </w:r>
            <w:r w:rsidR="00FA5683" w:rsidRPr="004954FE">
              <w:rPr>
                <w:rFonts w:cstheme="minorHAnsi"/>
                <w:sz w:val="21"/>
                <w:szCs w:val="21"/>
              </w:rPr>
              <w:t xml:space="preserve">Meanwhile, </w:t>
            </w:r>
            <w:r w:rsidR="00B0402B" w:rsidRPr="004954FE">
              <w:rPr>
                <w:rFonts w:cstheme="minorHAnsi"/>
                <w:sz w:val="21"/>
                <w:szCs w:val="21"/>
              </w:rPr>
              <w:t xml:space="preserve">O’Connor’s Business &amp; Commerce Code </w:t>
            </w:r>
            <w:r w:rsidR="00FA5683" w:rsidRPr="004954FE">
              <w:rPr>
                <w:rFonts w:cstheme="minorHAnsi"/>
                <w:sz w:val="21"/>
                <w:szCs w:val="21"/>
              </w:rPr>
              <w:t>includes the Texas UCC and other transactional statutes. Not</w:t>
            </w:r>
            <w:r w:rsidR="00B045E7" w:rsidRPr="004954FE">
              <w:rPr>
                <w:rFonts w:cstheme="minorHAnsi"/>
                <w:sz w:val="21"/>
                <w:szCs w:val="21"/>
              </w:rPr>
              <w:t xml:space="preserve"> currently</w:t>
            </w:r>
            <w:r w:rsidR="00FA5683" w:rsidRPr="004954FE">
              <w:rPr>
                <w:rFonts w:cstheme="minorHAnsi"/>
                <w:sz w:val="21"/>
                <w:szCs w:val="21"/>
              </w:rPr>
              <w:t xml:space="preserve"> available online.</w:t>
            </w:r>
            <w:r w:rsidR="00B0402B" w:rsidRPr="004954FE">
              <w:rPr>
                <w:rFonts w:cstheme="minorHAnsi"/>
                <w:sz w:val="21"/>
                <w:szCs w:val="21"/>
              </w:rPr>
              <w:t xml:space="preserve"> </w:t>
            </w:r>
          </w:p>
        </w:tc>
      </w:tr>
      <w:tr w:rsidR="00235471" w:rsidTr="00F93D1F">
        <w:trPr>
          <w:cnfStyle w:val="000000100000"/>
          <w:trHeight w:val="2177"/>
        </w:trPr>
        <w:tc>
          <w:tcPr>
            <w:cnfStyle w:val="001000000000"/>
            <w:tcW w:w="2268" w:type="dxa"/>
          </w:tcPr>
          <w:p w:rsidR="00235471" w:rsidRPr="004954FE" w:rsidRDefault="00F4516F" w:rsidP="0084151C">
            <w:pPr>
              <w:rPr>
                <w:rFonts w:cstheme="minorHAnsi"/>
                <w:sz w:val="21"/>
                <w:szCs w:val="21"/>
              </w:rPr>
            </w:pPr>
            <w:r w:rsidRPr="004954FE">
              <w:rPr>
                <w:rFonts w:cstheme="minorHAnsi"/>
                <w:sz w:val="21"/>
                <w:szCs w:val="21"/>
              </w:rPr>
              <w:t>Delaware Code Annotated</w:t>
            </w:r>
          </w:p>
          <w:p w:rsidR="00F4516F" w:rsidRPr="004954FE" w:rsidRDefault="00F4516F" w:rsidP="0084151C">
            <w:pPr>
              <w:rPr>
                <w:rFonts w:cstheme="minorHAnsi"/>
                <w:sz w:val="21"/>
                <w:szCs w:val="21"/>
              </w:rPr>
            </w:pPr>
            <w:r w:rsidRPr="004954FE">
              <w:rPr>
                <w:rFonts w:cstheme="minorHAnsi"/>
                <w:noProof/>
                <w:sz w:val="21"/>
                <w:szCs w:val="21"/>
              </w:rPr>
              <w:drawing>
                <wp:inline distT="0" distB="0" distL="0" distR="0">
                  <wp:extent cx="971550" cy="962024"/>
                  <wp:effectExtent l="19050" t="0" r="0" b="0"/>
                  <wp:docPr id="1" name="Picture 1" descr="http://www.lexisnexis.com/store/images/bstore/product/lexisnexis/9780327108801.jpg"/>
                  <wp:cNvGraphicFramePr/>
                  <a:graphic xmlns:a="http://schemas.openxmlformats.org/drawingml/2006/main">
                    <a:graphicData uri="http://schemas.openxmlformats.org/drawingml/2006/picture">
                      <pic:pic xmlns:pic="http://schemas.openxmlformats.org/drawingml/2006/picture">
                        <pic:nvPicPr>
                          <pic:cNvPr id="1026" name="Picture 2" descr="http://www.lexisnexis.com/store/images/bstore/product/lexisnexis/9780327108801.jpg"/>
                          <pic:cNvPicPr>
                            <a:picLocks noChangeAspect="1" noChangeArrowheads="1"/>
                          </pic:cNvPicPr>
                        </pic:nvPicPr>
                        <pic:blipFill>
                          <a:blip r:embed="rId13" cstate="print"/>
                          <a:srcRect/>
                          <a:stretch>
                            <a:fillRect/>
                          </a:stretch>
                        </pic:blipFill>
                        <pic:spPr bwMode="auto">
                          <a:xfrm>
                            <a:off x="0" y="0"/>
                            <a:ext cx="971794" cy="962266"/>
                          </a:xfrm>
                          <a:prstGeom prst="rect">
                            <a:avLst/>
                          </a:prstGeom>
                          <a:noFill/>
                        </pic:spPr>
                      </pic:pic>
                    </a:graphicData>
                  </a:graphic>
                </wp:inline>
              </w:drawing>
            </w:r>
          </w:p>
        </w:tc>
        <w:tc>
          <w:tcPr>
            <w:tcW w:w="1890" w:type="dxa"/>
          </w:tcPr>
          <w:p w:rsidR="00235471" w:rsidRPr="004954FE" w:rsidRDefault="003C540B" w:rsidP="0084151C">
            <w:pPr>
              <w:cnfStyle w:val="000000100000"/>
              <w:rPr>
                <w:rFonts w:cstheme="minorHAnsi"/>
                <w:sz w:val="21"/>
                <w:szCs w:val="21"/>
              </w:rPr>
            </w:pPr>
            <w:r w:rsidRPr="004954FE">
              <w:rPr>
                <w:rFonts w:cstheme="minorHAnsi"/>
                <w:sz w:val="21"/>
                <w:szCs w:val="21"/>
              </w:rPr>
              <w:t>1</w:t>
            </w:r>
            <w:r w:rsidRPr="004954FE">
              <w:rPr>
                <w:rFonts w:cstheme="minorHAnsi"/>
                <w:sz w:val="21"/>
                <w:szCs w:val="21"/>
                <w:vertAlign w:val="superscript"/>
              </w:rPr>
              <w:t>st</w:t>
            </w:r>
            <w:r w:rsidRPr="004954FE">
              <w:rPr>
                <w:rFonts w:cstheme="minorHAnsi"/>
                <w:sz w:val="21"/>
                <w:szCs w:val="21"/>
              </w:rPr>
              <w:t xml:space="preserve"> </w:t>
            </w:r>
            <w:r w:rsidR="00F4516F" w:rsidRPr="004954FE">
              <w:rPr>
                <w:rFonts w:cstheme="minorHAnsi"/>
                <w:sz w:val="21"/>
                <w:szCs w:val="21"/>
              </w:rPr>
              <w:t xml:space="preserve"> Floor Reading Room</w:t>
            </w:r>
            <w:r w:rsidR="00884FE4" w:rsidRPr="004954FE">
              <w:rPr>
                <w:rFonts w:cstheme="minorHAnsi"/>
                <w:sz w:val="21"/>
                <w:szCs w:val="21"/>
              </w:rPr>
              <w:t xml:space="preserve"> (100)</w:t>
            </w:r>
          </w:p>
        </w:tc>
        <w:tc>
          <w:tcPr>
            <w:tcW w:w="5418" w:type="dxa"/>
          </w:tcPr>
          <w:p w:rsidR="00235471" w:rsidRPr="004954FE" w:rsidRDefault="002D59C4" w:rsidP="002D59C4">
            <w:pPr>
              <w:cnfStyle w:val="000000100000"/>
              <w:rPr>
                <w:rFonts w:cstheme="minorHAnsi"/>
                <w:sz w:val="21"/>
                <w:szCs w:val="21"/>
              </w:rPr>
            </w:pPr>
            <w:r w:rsidRPr="004954FE">
              <w:rPr>
                <w:rFonts w:cstheme="minorHAnsi"/>
                <w:sz w:val="21"/>
                <w:szCs w:val="21"/>
              </w:rPr>
              <w:t xml:space="preserve">Title 8 of </w:t>
            </w:r>
            <w:r w:rsidR="00F4516F" w:rsidRPr="004954FE">
              <w:rPr>
                <w:rFonts w:cstheme="minorHAnsi"/>
                <w:sz w:val="21"/>
                <w:szCs w:val="21"/>
              </w:rPr>
              <w:t>Lexis’ Annotated Code for Delaware</w:t>
            </w:r>
            <w:r w:rsidRPr="004954FE">
              <w:rPr>
                <w:rFonts w:cstheme="minorHAnsi"/>
                <w:sz w:val="21"/>
                <w:szCs w:val="21"/>
              </w:rPr>
              <w:t xml:space="preserve"> on Corporations is most relevant while</w:t>
            </w:r>
            <w:r w:rsidR="00F4516F" w:rsidRPr="004954FE">
              <w:rPr>
                <w:rFonts w:cstheme="minorHAnsi"/>
                <w:sz w:val="21"/>
                <w:szCs w:val="21"/>
              </w:rPr>
              <w:t xml:space="preserve"> Title 6 (Commerce and Trade), Title 18 (</w:t>
            </w:r>
            <w:r w:rsidRPr="004954FE">
              <w:rPr>
                <w:rFonts w:cstheme="minorHAnsi"/>
                <w:sz w:val="21"/>
                <w:szCs w:val="21"/>
              </w:rPr>
              <w:t>Insurance), Title 19(Labor),</w:t>
            </w:r>
            <w:r w:rsidR="00F4516F" w:rsidRPr="004954FE">
              <w:rPr>
                <w:rFonts w:cstheme="minorHAnsi"/>
                <w:sz w:val="21"/>
                <w:szCs w:val="21"/>
              </w:rPr>
              <w:t xml:space="preserve"> Title 30 (State Taxes)</w:t>
            </w:r>
            <w:r w:rsidRPr="004954FE">
              <w:rPr>
                <w:rFonts w:cstheme="minorHAnsi"/>
                <w:sz w:val="21"/>
                <w:szCs w:val="21"/>
              </w:rPr>
              <w:t>,</w:t>
            </w:r>
            <w:r w:rsidR="00F4516F" w:rsidRPr="004954FE">
              <w:rPr>
                <w:rFonts w:cstheme="minorHAnsi"/>
                <w:sz w:val="21"/>
                <w:szCs w:val="21"/>
              </w:rPr>
              <w:t xml:space="preserve"> and others may also </w:t>
            </w:r>
            <w:r w:rsidR="00685B88" w:rsidRPr="004954FE">
              <w:rPr>
                <w:rFonts w:cstheme="minorHAnsi"/>
                <w:sz w:val="21"/>
                <w:szCs w:val="21"/>
              </w:rPr>
              <w:t>be useful</w:t>
            </w:r>
            <w:r w:rsidR="00F4516F" w:rsidRPr="004954FE">
              <w:rPr>
                <w:rFonts w:cstheme="minorHAnsi"/>
                <w:sz w:val="21"/>
                <w:szCs w:val="21"/>
              </w:rPr>
              <w:t>.</w:t>
            </w:r>
            <w:r w:rsidR="00CD1D8F" w:rsidRPr="004954FE">
              <w:rPr>
                <w:rFonts w:cstheme="minorHAnsi"/>
                <w:sz w:val="21"/>
                <w:szCs w:val="21"/>
              </w:rPr>
              <w:t xml:space="preserve">  The Delaware Code Annotated is available on Lexis (</w:t>
            </w:r>
            <w:hyperlink r:id="rId14" w:history="1">
              <w:r w:rsidR="00CD1D8F" w:rsidRPr="0061317E">
                <w:rPr>
                  <w:rStyle w:val="Hyperlink"/>
                  <w:rFonts w:cstheme="minorHAnsi"/>
                  <w:color w:val="2828FF" w:themeColor="text2" w:themeTint="99"/>
                  <w:sz w:val="21"/>
                  <w:szCs w:val="21"/>
                </w:rPr>
                <w:t>CODE</w:t>
              </w:r>
            </w:hyperlink>
            <w:r w:rsidR="00CD1D8F" w:rsidRPr="004954FE">
              <w:rPr>
                <w:rFonts w:cstheme="minorHAnsi"/>
                <w:sz w:val="21"/>
                <w:szCs w:val="21"/>
              </w:rPr>
              <w:t>) while West’s version of the Delaware Code Annotated is available on Westlaw (</w:t>
            </w:r>
            <w:hyperlink r:id="rId15" w:history="1">
              <w:r w:rsidR="00CD1D8F" w:rsidRPr="0061317E">
                <w:rPr>
                  <w:rStyle w:val="Hyperlink"/>
                  <w:rFonts w:cstheme="minorHAnsi"/>
                  <w:color w:val="2828FF" w:themeColor="text2" w:themeTint="99"/>
                  <w:sz w:val="21"/>
                  <w:szCs w:val="21"/>
                </w:rPr>
                <w:t>DE-ST-ANN</w:t>
              </w:r>
            </w:hyperlink>
            <w:r w:rsidR="00CD1D8F" w:rsidRPr="004954FE">
              <w:rPr>
                <w:rFonts w:cstheme="minorHAnsi"/>
                <w:sz w:val="21"/>
                <w:szCs w:val="21"/>
              </w:rPr>
              <w:t>).</w:t>
            </w:r>
          </w:p>
          <w:p w:rsidR="00165F5C" w:rsidRPr="004954FE" w:rsidRDefault="00165F5C" w:rsidP="002D59C4">
            <w:pPr>
              <w:cnfStyle w:val="000000100000"/>
              <w:rPr>
                <w:rFonts w:cstheme="minorHAnsi"/>
                <w:sz w:val="21"/>
                <w:szCs w:val="21"/>
              </w:rPr>
            </w:pPr>
            <w:r w:rsidRPr="004954FE">
              <w:rPr>
                <w:rFonts w:cstheme="minorHAnsi"/>
                <w:sz w:val="21"/>
                <w:szCs w:val="21"/>
              </w:rPr>
              <w:t>[No longer updated as of July 2013.]</w:t>
            </w:r>
          </w:p>
        </w:tc>
      </w:tr>
      <w:tr w:rsidR="003C540B" w:rsidTr="00F93D1F">
        <w:trPr>
          <w:trHeight w:val="2285"/>
        </w:trPr>
        <w:tc>
          <w:tcPr>
            <w:cnfStyle w:val="001000000000"/>
            <w:tcW w:w="2268" w:type="dxa"/>
          </w:tcPr>
          <w:p w:rsidR="003C540B" w:rsidRPr="004954FE" w:rsidRDefault="003C540B" w:rsidP="0084151C">
            <w:pPr>
              <w:rPr>
                <w:rFonts w:cstheme="minorHAnsi"/>
                <w:sz w:val="21"/>
                <w:szCs w:val="21"/>
              </w:rPr>
            </w:pPr>
            <w:r w:rsidRPr="004954FE">
              <w:rPr>
                <w:rFonts w:cstheme="minorHAnsi"/>
                <w:sz w:val="21"/>
                <w:szCs w:val="21"/>
              </w:rPr>
              <w:t>The Delaware Law of Corporations &amp; Business Organizations</w:t>
            </w:r>
            <w:r w:rsidR="0014779E" w:rsidRPr="004954FE">
              <w:rPr>
                <w:rFonts w:cstheme="minorHAnsi"/>
                <w:sz w:val="21"/>
                <w:szCs w:val="21"/>
              </w:rPr>
              <w:t xml:space="preserve"> Statutory Deskbook</w:t>
            </w:r>
          </w:p>
          <w:p w:rsidR="003C540B" w:rsidRPr="004954FE" w:rsidRDefault="004954FE" w:rsidP="0084151C">
            <w:pPr>
              <w:rPr>
                <w:rFonts w:cstheme="minorHAnsi"/>
                <w:sz w:val="21"/>
                <w:szCs w:val="21"/>
              </w:rPr>
            </w:pPr>
            <w:r>
              <w:rPr>
                <w:rFonts w:cstheme="minorHAnsi"/>
                <w:noProof/>
                <w:sz w:val="21"/>
                <w:szCs w:val="21"/>
              </w:rPr>
              <w:drawing>
                <wp:anchor distT="0" distB="0" distL="114300" distR="114300" simplePos="0" relativeHeight="251659264" behindDoc="1" locked="0" layoutInCell="1" allowOverlap="1">
                  <wp:simplePos x="0" y="0"/>
                  <wp:positionH relativeFrom="column">
                    <wp:posOffset>208915</wp:posOffset>
                  </wp:positionH>
                  <wp:positionV relativeFrom="paragraph">
                    <wp:posOffset>53340</wp:posOffset>
                  </wp:positionV>
                  <wp:extent cx="669290" cy="914400"/>
                  <wp:effectExtent l="19050" t="0" r="0" b="0"/>
                  <wp:wrapTight wrapText="bothSides">
                    <wp:wrapPolygon edited="0">
                      <wp:start x="-615" y="0"/>
                      <wp:lineTo x="-615" y="21150"/>
                      <wp:lineTo x="21518" y="21150"/>
                      <wp:lineTo x="21518" y="0"/>
                      <wp:lineTo x="-615" y="0"/>
                    </wp:wrapPolygon>
                  </wp:wrapTight>
                  <wp:docPr id="16" name="Picture 7" descr="Delaware Law of Corporations &amp; Business Organizations Statutory Deskbook 2012 Edition by R. Franklin Balotti, Jesse A. Finkel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aware Law of Corporations &amp; Business Organizations Statutory Deskbook 2012 Edition by R. Franklin Balotti, Jesse A. Finkelstein"/>
                          <pic:cNvPicPr>
                            <a:picLocks noChangeAspect="1" noChangeArrowheads="1"/>
                          </pic:cNvPicPr>
                        </pic:nvPicPr>
                        <pic:blipFill>
                          <a:blip r:embed="rId16" cstate="print"/>
                          <a:srcRect/>
                          <a:stretch>
                            <a:fillRect/>
                          </a:stretch>
                        </pic:blipFill>
                        <pic:spPr bwMode="auto">
                          <a:xfrm>
                            <a:off x="0" y="0"/>
                            <a:ext cx="669290" cy="914400"/>
                          </a:xfrm>
                          <a:prstGeom prst="rect">
                            <a:avLst/>
                          </a:prstGeom>
                          <a:noFill/>
                          <a:ln w="9525">
                            <a:noFill/>
                            <a:miter lim="800000"/>
                            <a:headEnd/>
                            <a:tailEnd/>
                          </a:ln>
                        </pic:spPr>
                      </pic:pic>
                    </a:graphicData>
                  </a:graphic>
                </wp:anchor>
              </w:drawing>
            </w:r>
            <w:r w:rsidR="0014779E" w:rsidRPr="004954FE">
              <w:rPr>
                <w:rFonts w:cstheme="minorHAnsi"/>
                <w:sz w:val="21"/>
                <w:szCs w:val="21"/>
              </w:rPr>
              <w:t xml:space="preserve">   </w:t>
            </w:r>
          </w:p>
        </w:tc>
        <w:tc>
          <w:tcPr>
            <w:tcW w:w="1890" w:type="dxa"/>
          </w:tcPr>
          <w:p w:rsidR="003C540B" w:rsidRPr="004954FE" w:rsidRDefault="003C540B" w:rsidP="003C540B">
            <w:pPr>
              <w:cnfStyle w:val="000000000000"/>
              <w:rPr>
                <w:rFonts w:cstheme="minorHAnsi"/>
                <w:sz w:val="21"/>
                <w:szCs w:val="21"/>
              </w:rPr>
            </w:pPr>
            <w:r w:rsidRPr="004954FE">
              <w:rPr>
                <w:rFonts w:cstheme="minorHAnsi"/>
                <w:sz w:val="21"/>
                <w:szCs w:val="21"/>
              </w:rPr>
              <w:t>2</w:t>
            </w:r>
            <w:r w:rsidRPr="004954FE">
              <w:rPr>
                <w:rFonts w:cstheme="minorHAnsi"/>
                <w:sz w:val="21"/>
                <w:szCs w:val="21"/>
                <w:vertAlign w:val="superscript"/>
              </w:rPr>
              <w:t>nd</w:t>
            </w:r>
            <w:r w:rsidRPr="004954FE">
              <w:rPr>
                <w:rFonts w:cstheme="minorHAnsi"/>
                <w:sz w:val="21"/>
                <w:szCs w:val="21"/>
              </w:rPr>
              <w:t xml:space="preserve"> Floor KFD213 .A29 D44</w:t>
            </w:r>
          </w:p>
        </w:tc>
        <w:tc>
          <w:tcPr>
            <w:tcW w:w="5418" w:type="dxa"/>
          </w:tcPr>
          <w:p w:rsidR="003C540B" w:rsidRPr="004954FE" w:rsidRDefault="00EE7490" w:rsidP="00251AC3">
            <w:pPr>
              <w:cnfStyle w:val="000000000000"/>
              <w:rPr>
                <w:rFonts w:cstheme="minorHAnsi"/>
                <w:sz w:val="21"/>
                <w:szCs w:val="21"/>
              </w:rPr>
            </w:pPr>
            <w:r w:rsidRPr="004954FE">
              <w:rPr>
                <w:rFonts w:cstheme="minorHAnsi"/>
                <w:sz w:val="21"/>
                <w:szCs w:val="21"/>
              </w:rPr>
              <w:t>This compilation of Delaware statutes is generally less heavily annotated than the full Delaware Code above, but provides a single, convenient source for relevant Delaware</w:t>
            </w:r>
            <w:r w:rsidR="00251AC3" w:rsidRPr="004954FE">
              <w:rPr>
                <w:rFonts w:cstheme="minorHAnsi"/>
                <w:sz w:val="21"/>
                <w:szCs w:val="21"/>
              </w:rPr>
              <w:t xml:space="preserve"> statutes,</w:t>
            </w:r>
            <w:r w:rsidRPr="004954FE">
              <w:rPr>
                <w:rFonts w:cstheme="minorHAnsi"/>
                <w:sz w:val="21"/>
                <w:szCs w:val="21"/>
              </w:rPr>
              <w:t xml:space="preserve"> including </w:t>
            </w:r>
            <w:r w:rsidR="00251AC3" w:rsidRPr="004954FE">
              <w:rPr>
                <w:rFonts w:cstheme="minorHAnsi"/>
                <w:sz w:val="21"/>
                <w:szCs w:val="21"/>
              </w:rPr>
              <w:t xml:space="preserve">the full text of </w:t>
            </w:r>
            <w:r w:rsidRPr="004954FE">
              <w:rPr>
                <w:rFonts w:cstheme="minorHAnsi"/>
                <w:sz w:val="21"/>
                <w:szCs w:val="21"/>
              </w:rPr>
              <w:t>Title 8 (Corporations</w:t>
            </w:r>
            <w:r w:rsidR="00251AC3" w:rsidRPr="004954FE">
              <w:rPr>
                <w:rFonts w:cstheme="minorHAnsi"/>
                <w:sz w:val="21"/>
                <w:szCs w:val="21"/>
              </w:rPr>
              <w:t>), the Limited Liability Company Act from Title 6 and the Statutory Trust Statute, along with laws on partnerships, non-profit corporations and other areas.  Recent amendments are also highlighted in brief introductory sections.  Not available online.</w:t>
            </w:r>
          </w:p>
        </w:tc>
      </w:tr>
    </w:tbl>
    <w:p w:rsidR="009247ED" w:rsidRPr="00F93D1F" w:rsidRDefault="009247ED" w:rsidP="00F93D1F">
      <w:pPr>
        <w:pStyle w:val="Heading1"/>
        <w:spacing w:before="120"/>
        <w:rPr>
          <w:sz w:val="32"/>
          <w:szCs w:val="32"/>
        </w:rPr>
      </w:pPr>
      <w:r w:rsidRPr="00F93D1F">
        <w:rPr>
          <w:sz w:val="32"/>
          <w:szCs w:val="32"/>
        </w:rPr>
        <w:lastRenderedPageBreak/>
        <w:t xml:space="preserve">Secondary </w:t>
      </w:r>
      <w:r w:rsidR="00F33E86" w:rsidRPr="00F93D1F">
        <w:rPr>
          <w:sz w:val="32"/>
          <w:szCs w:val="32"/>
        </w:rPr>
        <w:t>Sources</w:t>
      </w:r>
      <w:r w:rsidRPr="00F93D1F">
        <w:rPr>
          <w:sz w:val="32"/>
          <w:szCs w:val="32"/>
        </w:rPr>
        <w:t>:</w:t>
      </w:r>
    </w:p>
    <w:tbl>
      <w:tblPr>
        <w:tblStyle w:val="LightList-Accent1"/>
        <w:tblW w:w="0" w:type="auto"/>
        <w:tblLook w:val="04A0"/>
      </w:tblPr>
      <w:tblGrid>
        <w:gridCol w:w="2448"/>
        <w:gridCol w:w="1800"/>
        <w:gridCol w:w="5328"/>
      </w:tblGrid>
      <w:tr w:rsidR="00FA5683" w:rsidRPr="0084151C" w:rsidTr="00F93D1F">
        <w:trPr>
          <w:cnfStyle w:val="100000000000"/>
        </w:trPr>
        <w:tc>
          <w:tcPr>
            <w:cnfStyle w:val="001000000000"/>
            <w:tcW w:w="2448" w:type="dxa"/>
          </w:tcPr>
          <w:p w:rsidR="00FA5683" w:rsidRPr="004954FE" w:rsidRDefault="00FA5683" w:rsidP="0084151C">
            <w:pPr>
              <w:jc w:val="center"/>
              <w:rPr>
                <w:rFonts w:asciiTheme="majorHAnsi" w:hAnsiTheme="majorHAnsi"/>
                <w:b w:val="0"/>
                <w:sz w:val="28"/>
                <w:szCs w:val="28"/>
              </w:rPr>
            </w:pPr>
            <w:r w:rsidRPr="004954FE">
              <w:rPr>
                <w:rFonts w:asciiTheme="majorHAnsi" w:hAnsiTheme="majorHAnsi"/>
                <w:sz w:val="28"/>
                <w:szCs w:val="28"/>
              </w:rPr>
              <w:t>Title</w:t>
            </w:r>
          </w:p>
        </w:tc>
        <w:tc>
          <w:tcPr>
            <w:tcW w:w="1800" w:type="dxa"/>
          </w:tcPr>
          <w:p w:rsidR="00FA5683" w:rsidRPr="004954FE" w:rsidRDefault="00FA5683" w:rsidP="0084151C">
            <w:pPr>
              <w:jc w:val="center"/>
              <w:cnfStyle w:val="100000000000"/>
              <w:rPr>
                <w:rFonts w:asciiTheme="majorHAnsi" w:hAnsiTheme="majorHAnsi"/>
                <w:b w:val="0"/>
                <w:sz w:val="28"/>
                <w:szCs w:val="28"/>
              </w:rPr>
            </w:pPr>
            <w:r w:rsidRPr="004954FE">
              <w:rPr>
                <w:rFonts w:asciiTheme="majorHAnsi" w:hAnsiTheme="majorHAnsi"/>
                <w:sz w:val="28"/>
                <w:szCs w:val="28"/>
              </w:rPr>
              <w:t>Location</w:t>
            </w:r>
          </w:p>
        </w:tc>
        <w:tc>
          <w:tcPr>
            <w:tcW w:w="5328" w:type="dxa"/>
          </w:tcPr>
          <w:p w:rsidR="00FA5683" w:rsidRPr="004954FE" w:rsidRDefault="00FA5683" w:rsidP="0084151C">
            <w:pPr>
              <w:jc w:val="center"/>
              <w:cnfStyle w:val="100000000000"/>
              <w:rPr>
                <w:rFonts w:asciiTheme="majorHAnsi" w:hAnsiTheme="majorHAnsi"/>
                <w:b w:val="0"/>
                <w:sz w:val="28"/>
                <w:szCs w:val="28"/>
              </w:rPr>
            </w:pPr>
            <w:r w:rsidRPr="004954FE">
              <w:rPr>
                <w:rFonts w:asciiTheme="majorHAnsi" w:hAnsiTheme="majorHAnsi"/>
                <w:sz w:val="28"/>
                <w:szCs w:val="28"/>
              </w:rPr>
              <w:t>Description</w:t>
            </w:r>
          </w:p>
        </w:tc>
      </w:tr>
      <w:tr w:rsidR="00FA5683" w:rsidRPr="00FA5683" w:rsidTr="00F93D1F">
        <w:trPr>
          <w:cnfStyle w:val="000000100000"/>
          <w:trHeight w:val="2348"/>
        </w:trPr>
        <w:tc>
          <w:tcPr>
            <w:cnfStyle w:val="001000000000"/>
            <w:tcW w:w="2448" w:type="dxa"/>
          </w:tcPr>
          <w:p w:rsidR="00FA5683" w:rsidRPr="004954FE" w:rsidRDefault="00FA5683">
            <w:pPr>
              <w:rPr>
                <w:rFonts w:cstheme="minorHAnsi"/>
                <w:sz w:val="21"/>
                <w:szCs w:val="21"/>
              </w:rPr>
            </w:pPr>
            <w:r w:rsidRPr="004954FE">
              <w:rPr>
                <w:rFonts w:cstheme="minorHAnsi"/>
                <w:sz w:val="21"/>
                <w:szCs w:val="21"/>
              </w:rPr>
              <w:t>Texas Transaction Guide: Legal Forms</w:t>
            </w:r>
          </w:p>
          <w:p w:rsidR="00FA5683" w:rsidRPr="004954FE" w:rsidRDefault="00FA5683">
            <w:pPr>
              <w:rPr>
                <w:rFonts w:cstheme="minorHAnsi"/>
                <w:sz w:val="21"/>
                <w:szCs w:val="21"/>
              </w:rPr>
            </w:pPr>
            <w:r w:rsidRPr="004954FE">
              <w:rPr>
                <w:rFonts w:cstheme="minorHAnsi"/>
                <w:noProof/>
                <w:sz w:val="21"/>
                <w:szCs w:val="21"/>
              </w:rPr>
              <w:drawing>
                <wp:inline distT="0" distB="0" distL="0" distR="0">
                  <wp:extent cx="1136970" cy="1133695"/>
                  <wp:effectExtent l="19050" t="0" r="6030" b="0"/>
                  <wp:docPr id="6" name="itemImg" descr="Texas Transaction Guide: Legal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mImg" descr="Texas Transaction Guide: Legal Forms"/>
                          <pic:cNvPicPr>
                            <a:picLocks noChangeAspect="1" noChangeArrowheads="1"/>
                          </pic:cNvPicPr>
                        </pic:nvPicPr>
                        <pic:blipFill>
                          <a:blip r:embed="rId17" cstate="print"/>
                          <a:srcRect/>
                          <a:stretch>
                            <a:fillRect/>
                          </a:stretch>
                        </pic:blipFill>
                        <pic:spPr bwMode="auto">
                          <a:xfrm>
                            <a:off x="0" y="0"/>
                            <a:ext cx="1136970" cy="1133695"/>
                          </a:xfrm>
                          <a:prstGeom prst="rect">
                            <a:avLst/>
                          </a:prstGeom>
                          <a:noFill/>
                          <a:ln w="9525">
                            <a:noFill/>
                            <a:miter lim="800000"/>
                            <a:headEnd/>
                            <a:tailEnd/>
                          </a:ln>
                        </pic:spPr>
                      </pic:pic>
                    </a:graphicData>
                  </a:graphic>
                </wp:inline>
              </w:drawing>
            </w:r>
          </w:p>
        </w:tc>
        <w:tc>
          <w:tcPr>
            <w:tcW w:w="1800" w:type="dxa"/>
          </w:tcPr>
          <w:p w:rsidR="00FA5683" w:rsidRPr="004954FE" w:rsidRDefault="00205A3A">
            <w:pPr>
              <w:cnfStyle w:val="000000100000"/>
              <w:rPr>
                <w:rFonts w:cstheme="minorHAnsi"/>
                <w:sz w:val="21"/>
                <w:szCs w:val="21"/>
              </w:rPr>
            </w:pPr>
            <w:r w:rsidRPr="004954FE">
              <w:rPr>
                <w:rFonts w:cstheme="minorHAnsi"/>
                <w:sz w:val="21"/>
                <w:szCs w:val="21"/>
              </w:rPr>
              <w:t>Circulation Desk</w:t>
            </w:r>
          </w:p>
          <w:p w:rsidR="00205A3A" w:rsidRPr="004954FE" w:rsidRDefault="00205A3A">
            <w:pPr>
              <w:cnfStyle w:val="000000100000"/>
              <w:rPr>
                <w:rFonts w:cstheme="minorHAnsi"/>
                <w:sz w:val="21"/>
                <w:szCs w:val="21"/>
              </w:rPr>
            </w:pPr>
            <w:r w:rsidRPr="004954FE">
              <w:rPr>
                <w:rFonts w:cstheme="minorHAnsi"/>
                <w:sz w:val="21"/>
                <w:szCs w:val="21"/>
              </w:rPr>
              <w:t>KFT1268 .K45</w:t>
            </w:r>
          </w:p>
        </w:tc>
        <w:tc>
          <w:tcPr>
            <w:tcW w:w="5328" w:type="dxa"/>
          </w:tcPr>
          <w:p w:rsidR="00FA5683" w:rsidRPr="004954FE" w:rsidRDefault="0085485C" w:rsidP="00685B88">
            <w:pPr>
              <w:cnfStyle w:val="000000100000"/>
              <w:rPr>
                <w:rFonts w:cstheme="minorHAnsi"/>
                <w:sz w:val="21"/>
                <w:szCs w:val="21"/>
              </w:rPr>
            </w:pPr>
            <w:r w:rsidRPr="004954FE">
              <w:rPr>
                <w:rFonts w:cstheme="minorHAnsi"/>
                <w:sz w:val="21"/>
                <w:szCs w:val="21"/>
              </w:rPr>
              <w:t>The</w:t>
            </w:r>
            <w:r w:rsidR="003C0CD9" w:rsidRPr="004954FE">
              <w:rPr>
                <w:rFonts w:cstheme="minorHAnsi"/>
                <w:sz w:val="21"/>
                <w:szCs w:val="21"/>
              </w:rPr>
              <w:t xml:space="preserve"> L</w:t>
            </w:r>
            <w:r w:rsidR="00571EA8" w:rsidRPr="004954FE">
              <w:rPr>
                <w:rFonts w:cstheme="minorHAnsi"/>
                <w:sz w:val="21"/>
                <w:szCs w:val="21"/>
              </w:rPr>
              <w:t>ibrary’s</w:t>
            </w:r>
            <w:r w:rsidRPr="004954FE">
              <w:rPr>
                <w:rFonts w:cstheme="minorHAnsi"/>
                <w:sz w:val="21"/>
                <w:szCs w:val="21"/>
              </w:rPr>
              <w:t xml:space="preserve"> most popular </w:t>
            </w:r>
            <w:r w:rsidR="00205A3A" w:rsidRPr="004954FE">
              <w:rPr>
                <w:rFonts w:cstheme="minorHAnsi"/>
                <w:sz w:val="21"/>
                <w:szCs w:val="21"/>
              </w:rPr>
              <w:t>treatise</w:t>
            </w:r>
            <w:r w:rsidRPr="004954FE">
              <w:rPr>
                <w:rFonts w:cstheme="minorHAnsi"/>
                <w:sz w:val="21"/>
                <w:szCs w:val="21"/>
              </w:rPr>
              <w:t xml:space="preserve"> on Corporate Law</w:t>
            </w:r>
            <w:r w:rsidR="00C4440D" w:rsidRPr="004954FE">
              <w:rPr>
                <w:rFonts w:cstheme="minorHAnsi"/>
                <w:sz w:val="21"/>
                <w:szCs w:val="21"/>
              </w:rPr>
              <w:t xml:space="preserve"> in Texas</w:t>
            </w:r>
            <w:r w:rsidRPr="004954FE">
              <w:rPr>
                <w:rFonts w:cstheme="minorHAnsi"/>
                <w:sz w:val="21"/>
                <w:szCs w:val="21"/>
              </w:rPr>
              <w:t>, providing</w:t>
            </w:r>
            <w:r w:rsidR="00205A3A" w:rsidRPr="004954FE">
              <w:rPr>
                <w:rFonts w:cstheme="minorHAnsi"/>
                <w:sz w:val="21"/>
                <w:szCs w:val="21"/>
              </w:rPr>
              <w:t xml:space="preserve"> extensive commentary, practice forms, and research guides listing primary and secondary sources.  Volumes 1-6 </w:t>
            </w:r>
            <w:r w:rsidR="00685B88" w:rsidRPr="004954FE">
              <w:rPr>
                <w:rFonts w:cstheme="minorHAnsi"/>
                <w:sz w:val="21"/>
                <w:szCs w:val="21"/>
              </w:rPr>
              <w:t>on</w:t>
            </w:r>
            <w:r w:rsidR="00205A3A" w:rsidRPr="004954FE">
              <w:rPr>
                <w:rFonts w:cstheme="minorHAnsi"/>
                <w:sz w:val="21"/>
                <w:szCs w:val="21"/>
              </w:rPr>
              <w:t xml:space="preserve"> Business Entities</w:t>
            </w:r>
            <w:r w:rsidR="0070768D" w:rsidRPr="004954FE">
              <w:rPr>
                <w:rFonts w:cstheme="minorHAnsi"/>
                <w:sz w:val="21"/>
                <w:szCs w:val="21"/>
              </w:rPr>
              <w:t xml:space="preserve"> contain information on formation and operation of corporations</w:t>
            </w:r>
            <w:r w:rsidR="00685B88" w:rsidRPr="004954FE">
              <w:rPr>
                <w:rFonts w:cstheme="minorHAnsi"/>
                <w:sz w:val="21"/>
                <w:szCs w:val="21"/>
              </w:rPr>
              <w:t>, partnerships, and LLCs while v</w:t>
            </w:r>
            <w:r w:rsidR="0070768D" w:rsidRPr="004954FE">
              <w:rPr>
                <w:rFonts w:cstheme="minorHAnsi"/>
                <w:sz w:val="21"/>
                <w:szCs w:val="21"/>
              </w:rPr>
              <w:t>olumes</w:t>
            </w:r>
            <w:r w:rsidR="00205A3A" w:rsidRPr="004954FE">
              <w:rPr>
                <w:rFonts w:cstheme="minorHAnsi"/>
                <w:sz w:val="21"/>
                <w:szCs w:val="21"/>
              </w:rPr>
              <w:t xml:space="preserve"> 10-15 </w:t>
            </w:r>
            <w:r w:rsidR="0070768D" w:rsidRPr="004954FE">
              <w:rPr>
                <w:rFonts w:cstheme="minorHAnsi"/>
                <w:sz w:val="21"/>
                <w:szCs w:val="21"/>
              </w:rPr>
              <w:t>focus on</w:t>
            </w:r>
            <w:r w:rsidR="00205A3A" w:rsidRPr="004954FE">
              <w:rPr>
                <w:rFonts w:cstheme="minorHAnsi"/>
                <w:sz w:val="21"/>
                <w:szCs w:val="21"/>
              </w:rPr>
              <w:t xml:space="preserve"> </w:t>
            </w:r>
            <w:r w:rsidR="0070768D" w:rsidRPr="004954FE">
              <w:rPr>
                <w:rFonts w:cstheme="minorHAnsi"/>
                <w:sz w:val="21"/>
                <w:szCs w:val="21"/>
              </w:rPr>
              <w:t>commercial t</w:t>
            </w:r>
            <w:r w:rsidR="00205A3A" w:rsidRPr="004954FE">
              <w:rPr>
                <w:rFonts w:cstheme="minorHAnsi"/>
                <w:sz w:val="21"/>
                <w:szCs w:val="21"/>
              </w:rPr>
              <w:t>ransactions</w:t>
            </w:r>
            <w:r w:rsidR="0070768D" w:rsidRPr="004954FE">
              <w:rPr>
                <w:rFonts w:cstheme="minorHAnsi"/>
                <w:sz w:val="21"/>
                <w:szCs w:val="21"/>
              </w:rPr>
              <w:t>, including contracts, sales, and secured and consumer transactions</w:t>
            </w:r>
            <w:r w:rsidR="001F1F87" w:rsidRPr="004954FE">
              <w:rPr>
                <w:rFonts w:cstheme="minorHAnsi"/>
                <w:sz w:val="21"/>
                <w:szCs w:val="21"/>
              </w:rPr>
              <w:t>.</w:t>
            </w:r>
            <w:r w:rsidR="008F68FE" w:rsidRPr="004954FE">
              <w:rPr>
                <w:rFonts w:cstheme="minorHAnsi"/>
                <w:sz w:val="21"/>
                <w:szCs w:val="21"/>
              </w:rPr>
              <w:t xml:space="preserve"> A</w:t>
            </w:r>
            <w:r w:rsidR="00B35D0F" w:rsidRPr="004954FE">
              <w:rPr>
                <w:rFonts w:cstheme="minorHAnsi"/>
                <w:sz w:val="21"/>
                <w:szCs w:val="21"/>
              </w:rPr>
              <w:t>lso a</w:t>
            </w:r>
            <w:r w:rsidR="008F68FE" w:rsidRPr="004954FE">
              <w:rPr>
                <w:rFonts w:cstheme="minorHAnsi"/>
                <w:sz w:val="21"/>
                <w:szCs w:val="21"/>
              </w:rPr>
              <w:t>vailable on Lexis (</w:t>
            </w:r>
            <w:hyperlink r:id="rId18" w:history="1">
              <w:r w:rsidR="008F68FE" w:rsidRPr="0061317E">
                <w:rPr>
                  <w:rStyle w:val="Hyperlink"/>
                  <w:rFonts w:cstheme="minorHAnsi"/>
                  <w:color w:val="2828FF" w:themeColor="text2" w:themeTint="99"/>
                  <w:sz w:val="21"/>
                  <w:szCs w:val="21"/>
                </w:rPr>
                <w:t>TEXTRN</w:t>
              </w:r>
            </w:hyperlink>
            <w:r w:rsidR="008F68FE" w:rsidRPr="004954FE">
              <w:rPr>
                <w:rFonts w:cstheme="minorHAnsi"/>
                <w:sz w:val="21"/>
                <w:szCs w:val="21"/>
              </w:rPr>
              <w:t>)</w:t>
            </w:r>
            <w:r w:rsidR="00B35D0F" w:rsidRPr="004954FE">
              <w:rPr>
                <w:rFonts w:cstheme="minorHAnsi"/>
                <w:sz w:val="21"/>
                <w:szCs w:val="21"/>
              </w:rPr>
              <w:t>.</w:t>
            </w:r>
          </w:p>
        </w:tc>
      </w:tr>
      <w:tr w:rsidR="002E39F4" w:rsidTr="00F93D1F">
        <w:trPr>
          <w:trHeight w:val="1925"/>
        </w:trPr>
        <w:tc>
          <w:tcPr>
            <w:cnfStyle w:val="001000000000"/>
            <w:tcW w:w="2448" w:type="dxa"/>
          </w:tcPr>
          <w:p w:rsidR="002E39F4" w:rsidRPr="004954FE" w:rsidRDefault="002E39F4" w:rsidP="00861305">
            <w:pPr>
              <w:rPr>
                <w:rFonts w:cstheme="minorHAnsi"/>
                <w:sz w:val="21"/>
                <w:szCs w:val="21"/>
              </w:rPr>
            </w:pPr>
            <w:r w:rsidRPr="004954FE">
              <w:rPr>
                <w:rFonts w:cstheme="minorHAnsi"/>
                <w:sz w:val="21"/>
                <w:szCs w:val="21"/>
              </w:rPr>
              <w:t>Texas Practice Series: Business Organizations</w:t>
            </w:r>
          </w:p>
          <w:p w:rsidR="002E39F4" w:rsidRPr="004954FE" w:rsidRDefault="002E39F4" w:rsidP="00861305">
            <w:pPr>
              <w:rPr>
                <w:rFonts w:cstheme="minorHAnsi"/>
                <w:sz w:val="21"/>
                <w:szCs w:val="21"/>
              </w:rPr>
            </w:pPr>
            <w:r w:rsidRPr="004954FE">
              <w:rPr>
                <w:rFonts w:cstheme="minorHAnsi"/>
                <w:sz w:val="21"/>
                <w:szCs w:val="21"/>
              </w:rPr>
              <w:t xml:space="preserve">  </w:t>
            </w:r>
            <w:r w:rsidRPr="004954FE">
              <w:rPr>
                <w:rFonts w:cstheme="minorHAnsi"/>
                <w:noProof/>
                <w:color w:val="505050"/>
                <w:sz w:val="21"/>
                <w:szCs w:val="21"/>
              </w:rPr>
              <w:drawing>
                <wp:inline distT="0" distB="0" distL="0" distR="0">
                  <wp:extent cx="888725" cy="1104900"/>
                  <wp:effectExtent l="19050" t="0" r="6625" b="0"/>
                  <wp:docPr id="18" name="ctl00_placeHolderTopNavigation_placeHolderContent_ctl00_productImage" descr="Business Organizations, 3d (Vols. 19 - 20A, Texas Practic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TopNavigation_placeHolderContent_ctl00_productImage" descr="Business Organizations, 3d (Vols. 19 - 20A, Texas Practice Series)"/>
                          <pic:cNvPicPr>
                            <a:picLocks noChangeAspect="1" noChangeArrowheads="1"/>
                          </pic:cNvPicPr>
                        </pic:nvPicPr>
                        <pic:blipFill>
                          <a:blip r:embed="rId19" cstate="print"/>
                          <a:srcRect/>
                          <a:stretch>
                            <a:fillRect/>
                          </a:stretch>
                        </pic:blipFill>
                        <pic:spPr bwMode="auto">
                          <a:xfrm>
                            <a:off x="0" y="0"/>
                            <a:ext cx="893915" cy="1111352"/>
                          </a:xfrm>
                          <a:prstGeom prst="rect">
                            <a:avLst/>
                          </a:prstGeom>
                          <a:noFill/>
                          <a:ln w="9525">
                            <a:noFill/>
                            <a:miter lim="800000"/>
                            <a:headEnd/>
                            <a:tailEnd/>
                          </a:ln>
                        </pic:spPr>
                      </pic:pic>
                    </a:graphicData>
                  </a:graphic>
                </wp:inline>
              </w:drawing>
            </w:r>
          </w:p>
        </w:tc>
        <w:tc>
          <w:tcPr>
            <w:tcW w:w="1800" w:type="dxa"/>
          </w:tcPr>
          <w:p w:rsidR="002E39F4" w:rsidRPr="004954FE" w:rsidRDefault="002E39F4" w:rsidP="00861305">
            <w:pPr>
              <w:cnfStyle w:val="000000000000"/>
              <w:rPr>
                <w:rFonts w:cstheme="minorHAnsi"/>
                <w:sz w:val="21"/>
                <w:szCs w:val="21"/>
              </w:rPr>
            </w:pPr>
            <w:r w:rsidRPr="004954FE">
              <w:rPr>
                <w:rFonts w:cstheme="minorHAnsi"/>
                <w:sz w:val="21"/>
                <w:szCs w:val="21"/>
              </w:rPr>
              <w:t>Circulation Desk</w:t>
            </w:r>
          </w:p>
          <w:p w:rsidR="002E39F4" w:rsidRPr="004954FE" w:rsidRDefault="002E39F4" w:rsidP="00861305">
            <w:pPr>
              <w:cnfStyle w:val="000000000000"/>
              <w:rPr>
                <w:rFonts w:cstheme="minorHAnsi"/>
                <w:sz w:val="21"/>
                <w:szCs w:val="21"/>
              </w:rPr>
            </w:pPr>
            <w:r w:rsidRPr="004954FE">
              <w:rPr>
                <w:rFonts w:cstheme="minorHAnsi"/>
                <w:sz w:val="21"/>
                <w:szCs w:val="21"/>
              </w:rPr>
              <w:t>KFT1280 .T4</w:t>
            </w:r>
          </w:p>
        </w:tc>
        <w:tc>
          <w:tcPr>
            <w:tcW w:w="5328" w:type="dxa"/>
          </w:tcPr>
          <w:p w:rsidR="002E39F4" w:rsidRPr="004954FE" w:rsidRDefault="002E39F4" w:rsidP="00861305">
            <w:pPr>
              <w:cnfStyle w:val="000000000000"/>
              <w:rPr>
                <w:rFonts w:cstheme="minorHAnsi"/>
                <w:sz w:val="21"/>
                <w:szCs w:val="21"/>
              </w:rPr>
            </w:pPr>
            <w:r w:rsidRPr="004954FE">
              <w:rPr>
                <w:rFonts w:cstheme="minorHAnsi"/>
                <w:sz w:val="21"/>
                <w:szCs w:val="21"/>
              </w:rPr>
              <w:t>Volumes 19-20A of West’</w:t>
            </w:r>
            <w:r w:rsidR="00875BD6">
              <w:rPr>
                <w:rFonts w:cstheme="minorHAnsi"/>
                <w:sz w:val="21"/>
                <w:szCs w:val="21"/>
              </w:rPr>
              <w:t>s Texas Practice Series provide</w:t>
            </w:r>
            <w:r w:rsidRPr="004954FE">
              <w:rPr>
                <w:rFonts w:cstheme="minorHAnsi"/>
                <w:sz w:val="21"/>
                <w:szCs w:val="21"/>
              </w:rPr>
              <w:t xml:space="preserve"> extensively footnoted commentary on various areas of corporate practice in Texas, including partnerships, LLCs, professional entities and for-profit corporations.  The set also includes a limited number of forms. The Texas Practice Series is available on Westlaw (</w:t>
            </w:r>
            <w:hyperlink r:id="rId20" w:history="1">
              <w:r w:rsidRPr="0061317E">
                <w:rPr>
                  <w:rStyle w:val="Hyperlink"/>
                  <w:rFonts w:cstheme="minorHAnsi"/>
                  <w:color w:val="2828FF" w:themeColor="text2" w:themeTint="99"/>
                  <w:sz w:val="21"/>
                  <w:szCs w:val="21"/>
                </w:rPr>
                <w:t>TX-PRAC</w:t>
              </w:r>
            </w:hyperlink>
            <w:r w:rsidRPr="004954FE">
              <w:rPr>
                <w:rFonts w:cstheme="minorHAnsi"/>
                <w:sz w:val="21"/>
                <w:szCs w:val="21"/>
              </w:rPr>
              <w:t>).</w:t>
            </w:r>
          </w:p>
        </w:tc>
      </w:tr>
      <w:tr w:rsidR="002E39F4" w:rsidRPr="00FA5683" w:rsidTr="00F93D1F">
        <w:trPr>
          <w:cnfStyle w:val="000000100000"/>
          <w:trHeight w:val="2123"/>
        </w:trPr>
        <w:tc>
          <w:tcPr>
            <w:cnfStyle w:val="001000000000"/>
            <w:tcW w:w="2448" w:type="dxa"/>
          </w:tcPr>
          <w:p w:rsidR="002E39F4" w:rsidRPr="004954FE" w:rsidRDefault="002E39F4" w:rsidP="00861305">
            <w:pPr>
              <w:rPr>
                <w:rFonts w:cstheme="minorHAnsi"/>
                <w:sz w:val="21"/>
                <w:szCs w:val="21"/>
              </w:rPr>
            </w:pPr>
            <w:r w:rsidRPr="004954FE">
              <w:rPr>
                <w:rFonts w:cstheme="minorHAnsi"/>
                <w:sz w:val="21"/>
                <w:szCs w:val="21"/>
              </w:rPr>
              <w:t>Texas Practice Guides: Business Entities/</w:t>
            </w:r>
          </w:p>
          <w:p w:rsidR="002E39F4" w:rsidRPr="004954FE" w:rsidRDefault="002E39F4" w:rsidP="00B5376B">
            <w:pPr>
              <w:rPr>
                <w:rFonts w:cstheme="minorHAnsi"/>
                <w:noProof/>
                <w:color w:val="505050"/>
                <w:sz w:val="21"/>
                <w:szCs w:val="21"/>
              </w:rPr>
            </w:pPr>
            <w:r w:rsidRPr="004954FE">
              <w:rPr>
                <w:rFonts w:cstheme="minorHAnsi"/>
                <w:sz w:val="21"/>
                <w:szCs w:val="21"/>
              </w:rPr>
              <w:t xml:space="preserve">Business Transactions </w:t>
            </w:r>
          </w:p>
          <w:p w:rsidR="00B5376B" w:rsidRPr="004954FE" w:rsidRDefault="00B5376B" w:rsidP="00B5376B">
            <w:pPr>
              <w:rPr>
                <w:rFonts w:cstheme="minorHAnsi"/>
                <w:sz w:val="21"/>
                <w:szCs w:val="21"/>
              </w:rPr>
            </w:pPr>
            <w:r w:rsidRPr="004954FE">
              <w:rPr>
                <w:rFonts w:cstheme="minorHAnsi"/>
                <w:sz w:val="21"/>
                <w:szCs w:val="21"/>
              </w:rPr>
              <w:t xml:space="preserve"> </w:t>
            </w:r>
            <w:r w:rsidRPr="004954FE">
              <w:rPr>
                <w:rFonts w:cstheme="minorHAnsi"/>
                <w:noProof/>
                <w:sz w:val="21"/>
                <w:szCs w:val="21"/>
              </w:rPr>
              <w:drawing>
                <wp:inline distT="0" distB="0" distL="0" distR="0">
                  <wp:extent cx="927100" cy="932309"/>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927100" cy="932309"/>
                          </a:xfrm>
                          <a:prstGeom prst="rect">
                            <a:avLst/>
                          </a:prstGeom>
                          <a:noFill/>
                          <a:ln w="9525">
                            <a:noFill/>
                            <a:miter lim="800000"/>
                            <a:headEnd/>
                            <a:tailEnd/>
                          </a:ln>
                        </pic:spPr>
                      </pic:pic>
                    </a:graphicData>
                  </a:graphic>
                </wp:inline>
              </w:drawing>
            </w:r>
          </w:p>
        </w:tc>
        <w:tc>
          <w:tcPr>
            <w:tcW w:w="1800" w:type="dxa"/>
          </w:tcPr>
          <w:p w:rsidR="002E39F4" w:rsidRPr="004954FE" w:rsidRDefault="002E39F4" w:rsidP="00861305">
            <w:pPr>
              <w:cnfStyle w:val="000000100000"/>
              <w:rPr>
                <w:rFonts w:cstheme="minorHAnsi"/>
                <w:sz w:val="21"/>
                <w:szCs w:val="21"/>
              </w:rPr>
            </w:pPr>
            <w:r w:rsidRPr="004954FE">
              <w:rPr>
                <w:rFonts w:cstheme="minorHAnsi"/>
                <w:sz w:val="21"/>
                <w:szCs w:val="21"/>
              </w:rPr>
              <w:t>Reserve Room</w:t>
            </w:r>
          </w:p>
          <w:p w:rsidR="002E39F4" w:rsidRPr="004954FE" w:rsidRDefault="002E39F4" w:rsidP="00861305">
            <w:pPr>
              <w:cnfStyle w:val="000000100000"/>
              <w:rPr>
                <w:rFonts w:cstheme="minorHAnsi"/>
                <w:sz w:val="21"/>
                <w:szCs w:val="21"/>
              </w:rPr>
            </w:pPr>
            <w:r w:rsidRPr="004954FE">
              <w:rPr>
                <w:rFonts w:cstheme="minorHAnsi"/>
                <w:sz w:val="21"/>
                <w:szCs w:val="21"/>
              </w:rPr>
              <w:t>KFT1405 .B37</w:t>
            </w:r>
          </w:p>
          <w:p w:rsidR="002E39F4" w:rsidRPr="004954FE" w:rsidRDefault="002E39F4" w:rsidP="00861305">
            <w:pPr>
              <w:cnfStyle w:val="000000100000"/>
              <w:rPr>
                <w:rFonts w:cstheme="minorHAnsi"/>
                <w:sz w:val="21"/>
                <w:szCs w:val="21"/>
              </w:rPr>
            </w:pPr>
            <w:r w:rsidRPr="004954FE">
              <w:rPr>
                <w:rFonts w:cstheme="minorHAnsi"/>
                <w:sz w:val="21"/>
                <w:szCs w:val="21"/>
              </w:rPr>
              <w:t>KFT1352 .R52</w:t>
            </w:r>
          </w:p>
          <w:p w:rsidR="002E39F4" w:rsidRPr="004954FE" w:rsidRDefault="002E39F4" w:rsidP="00861305">
            <w:pPr>
              <w:cnfStyle w:val="000000100000"/>
              <w:rPr>
                <w:rFonts w:cstheme="minorHAnsi"/>
                <w:sz w:val="21"/>
                <w:szCs w:val="21"/>
              </w:rPr>
            </w:pPr>
            <w:r w:rsidRPr="004954FE">
              <w:rPr>
                <w:rFonts w:cstheme="minorHAnsi"/>
                <w:sz w:val="21"/>
                <w:szCs w:val="21"/>
              </w:rPr>
              <w:t>KFT1352 .A6</w:t>
            </w:r>
          </w:p>
        </w:tc>
        <w:tc>
          <w:tcPr>
            <w:tcW w:w="5328" w:type="dxa"/>
          </w:tcPr>
          <w:p w:rsidR="002E39F4" w:rsidRPr="004954FE" w:rsidRDefault="002E39F4" w:rsidP="00B5376B">
            <w:pPr>
              <w:cnfStyle w:val="000000100000"/>
              <w:rPr>
                <w:rFonts w:cstheme="minorHAnsi"/>
                <w:sz w:val="21"/>
                <w:szCs w:val="21"/>
              </w:rPr>
            </w:pPr>
            <w:r w:rsidRPr="004954FE">
              <w:rPr>
                <w:rFonts w:cstheme="minorHAnsi"/>
                <w:sz w:val="21"/>
                <w:szCs w:val="21"/>
              </w:rPr>
              <w:t>These multi-volume treatise sets contain very concise explanatory sections, along with forms, practice checklists and references to applicable statutes, caselaw, and West’s topical digests.  All Texas Practice Guides are available on Westlaw (</w:t>
            </w:r>
            <w:hyperlink r:id="rId22" w:history="1">
              <w:r w:rsidRPr="0061317E">
                <w:rPr>
                  <w:rStyle w:val="Hyperlink"/>
                  <w:rFonts w:cstheme="minorHAnsi"/>
                  <w:color w:val="2828FF" w:themeColor="text2" w:themeTint="99"/>
                  <w:sz w:val="21"/>
                  <w:szCs w:val="21"/>
                </w:rPr>
                <w:t>TXPG-ALL</w:t>
              </w:r>
            </w:hyperlink>
            <w:r w:rsidRPr="004954FE">
              <w:rPr>
                <w:rFonts w:cstheme="minorHAnsi"/>
                <w:sz w:val="21"/>
                <w:szCs w:val="21"/>
              </w:rPr>
              <w:t>) along with individual volumes: Business Entities (</w:t>
            </w:r>
            <w:hyperlink r:id="rId23" w:history="1">
              <w:r w:rsidRPr="0061317E">
                <w:rPr>
                  <w:rStyle w:val="Hyperlink"/>
                  <w:rFonts w:cstheme="minorHAnsi"/>
                  <w:color w:val="2828FF" w:themeColor="text2" w:themeTint="99"/>
                  <w:sz w:val="21"/>
                  <w:szCs w:val="21"/>
                </w:rPr>
                <w:t>TXPG-BUSEN</w:t>
              </w:r>
            </w:hyperlink>
            <w:r w:rsidRPr="004954FE">
              <w:rPr>
                <w:rFonts w:cstheme="minorHAnsi"/>
                <w:sz w:val="21"/>
                <w:szCs w:val="21"/>
              </w:rPr>
              <w:t>); Business Transactions (</w:t>
            </w:r>
            <w:hyperlink r:id="rId24" w:history="1">
              <w:r w:rsidRPr="0061317E">
                <w:rPr>
                  <w:rStyle w:val="Hyperlink"/>
                  <w:rFonts w:cstheme="minorHAnsi"/>
                  <w:color w:val="2828FF" w:themeColor="text2" w:themeTint="99"/>
                  <w:sz w:val="21"/>
                  <w:szCs w:val="21"/>
                </w:rPr>
                <w:t>TXPG-BUSTR</w:t>
              </w:r>
            </w:hyperlink>
            <w:r w:rsidRPr="004954FE">
              <w:rPr>
                <w:rFonts w:cstheme="minorHAnsi"/>
                <w:sz w:val="21"/>
                <w:szCs w:val="21"/>
              </w:rPr>
              <w:t>).</w:t>
            </w:r>
          </w:p>
        </w:tc>
      </w:tr>
      <w:tr w:rsidR="002E39F4" w:rsidTr="00F93D1F">
        <w:trPr>
          <w:trHeight w:val="2168"/>
        </w:trPr>
        <w:tc>
          <w:tcPr>
            <w:cnfStyle w:val="001000000000"/>
            <w:tcW w:w="2448" w:type="dxa"/>
          </w:tcPr>
          <w:p w:rsidR="002E39F4" w:rsidRPr="004954FE" w:rsidRDefault="002E39F4" w:rsidP="00861305">
            <w:pPr>
              <w:rPr>
                <w:rFonts w:cstheme="minorHAnsi"/>
                <w:sz w:val="21"/>
                <w:szCs w:val="21"/>
              </w:rPr>
            </w:pPr>
            <w:r w:rsidRPr="004954FE">
              <w:rPr>
                <w:rFonts w:cstheme="minorHAnsi"/>
                <w:sz w:val="21"/>
                <w:szCs w:val="21"/>
              </w:rPr>
              <w:t>Texas Corporation Law</w:t>
            </w:r>
          </w:p>
          <w:p w:rsidR="002E39F4" w:rsidRPr="004954FE" w:rsidRDefault="002E39F4" w:rsidP="00861305">
            <w:pPr>
              <w:rPr>
                <w:rFonts w:cstheme="minorHAnsi"/>
                <w:sz w:val="21"/>
                <w:szCs w:val="21"/>
              </w:rPr>
            </w:pPr>
          </w:p>
          <w:p w:rsidR="002E39F4" w:rsidRPr="004954FE" w:rsidRDefault="002E39F4" w:rsidP="00861305">
            <w:pPr>
              <w:rPr>
                <w:rFonts w:cstheme="minorHAnsi"/>
                <w:sz w:val="21"/>
                <w:szCs w:val="21"/>
              </w:rPr>
            </w:pPr>
            <w:r w:rsidRPr="004954FE">
              <w:rPr>
                <w:rFonts w:cstheme="minorHAnsi"/>
                <w:sz w:val="21"/>
                <w:szCs w:val="21"/>
              </w:rPr>
              <w:t xml:space="preserve">    </w:t>
            </w:r>
            <w:r w:rsidRPr="004954FE">
              <w:rPr>
                <w:rFonts w:cstheme="minorHAnsi"/>
                <w:noProof/>
                <w:sz w:val="21"/>
                <w:szCs w:val="21"/>
              </w:rPr>
              <w:drawing>
                <wp:inline distT="0" distB="0" distL="0" distR="0">
                  <wp:extent cx="707045" cy="914400"/>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709513" cy="917592"/>
                          </a:xfrm>
                          <a:prstGeom prst="rect">
                            <a:avLst/>
                          </a:prstGeom>
                          <a:noFill/>
                          <a:ln w="9525">
                            <a:noFill/>
                            <a:miter lim="800000"/>
                            <a:headEnd/>
                            <a:tailEnd/>
                          </a:ln>
                        </pic:spPr>
                      </pic:pic>
                    </a:graphicData>
                  </a:graphic>
                </wp:inline>
              </w:drawing>
            </w:r>
          </w:p>
        </w:tc>
        <w:tc>
          <w:tcPr>
            <w:tcW w:w="1800" w:type="dxa"/>
          </w:tcPr>
          <w:p w:rsidR="002E39F4" w:rsidRPr="004954FE" w:rsidRDefault="002E39F4" w:rsidP="00861305">
            <w:pPr>
              <w:cnfStyle w:val="000000000000"/>
              <w:rPr>
                <w:rFonts w:cstheme="minorHAnsi"/>
                <w:sz w:val="21"/>
                <w:szCs w:val="21"/>
              </w:rPr>
            </w:pPr>
            <w:r w:rsidRPr="004954FE">
              <w:rPr>
                <w:rFonts w:cstheme="minorHAnsi"/>
                <w:sz w:val="21"/>
                <w:szCs w:val="21"/>
              </w:rPr>
              <w:t>Reserve Room</w:t>
            </w:r>
          </w:p>
          <w:p w:rsidR="002E39F4" w:rsidRPr="004954FE" w:rsidRDefault="002E39F4" w:rsidP="00861305">
            <w:pPr>
              <w:cnfStyle w:val="000000000000"/>
              <w:rPr>
                <w:rFonts w:cstheme="minorHAnsi"/>
                <w:sz w:val="21"/>
                <w:szCs w:val="21"/>
              </w:rPr>
            </w:pPr>
            <w:r w:rsidRPr="004954FE">
              <w:rPr>
                <w:rFonts w:cstheme="minorHAnsi"/>
                <w:sz w:val="21"/>
                <w:szCs w:val="21"/>
              </w:rPr>
              <w:t>KFT1414 .N48</w:t>
            </w:r>
          </w:p>
        </w:tc>
        <w:tc>
          <w:tcPr>
            <w:tcW w:w="5328" w:type="dxa"/>
          </w:tcPr>
          <w:p w:rsidR="002E39F4" w:rsidRPr="004954FE" w:rsidRDefault="002E39F4" w:rsidP="00861305">
            <w:pPr>
              <w:cnfStyle w:val="000000000000"/>
              <w:rPr>
                <w:rFonts w:cstheme="minorHAnsi"/>
                <w:sz w:val="21"/>
                <w:szCs w:val="21"/>
              </w:rPr>
            </w:pPr>
            <w:r w:rsidRPr="004954FE">
              <w:rPr>
                <w:rFonts w:cstheme="minorHAnsi"/>
                <w:sz w:val="21"/>
                <w:szCs w:val="21"/>
              </w:rPr>
              <w:t xml:space="preserve">This single-volume treatise provides commentary on various aspects of corporate practice in Texas, from formation and governance to dissolution.  The text contains references to caselaw and statutes while a bibliography of secondary sources is included in the Appendix.  Forms may be found on the accompanying CD-ROM disk.  Not available online. </w:t>
            </w:r>
          </w:p>
        </w:tc>
      </w:tr>
      <w:tr w:rsidR="00B5376B" w:rsidTr="00F93D1F">
        <w:trPr>
          <w:cnfStyle w:val="000000100000"/>
        </w:trPr>
        <w:tc>
          <w:tcPr>
            <w:cnfStyle w:val="001000000000"/>
            <w:tcW w:w="2448" w:type="dxa"/>
          </w:tcPr>
          <w:p w:rsidR="00B5376B" w:rsidRPr="004954FE" w:rsidRDefault="00B5376B" w:rsidP="00861305">
            <w:pPr>
              <w:rPr>
                <w:rFonts w:cstheme="minorHAnsi"/>
                <w:sz w:val="21"/>
                <w:szCs w:val="21"/>
              </w:rPr>
            </w:pPr>
            <w:r w:rsidRPr="004954FE">
              <w:rPr>
                <w:rFonts w:cstheme="minorHAnsi"/>
                <w:sz w:val="21"/>
                <w:szCs w:val="21"/>
              </w:rPr>
              <w:t>The Delaware Law of Corporations &amp; Business Organizations</w:t>
            </w:r>
          </w:p>
          <w:p w:rsidR="00B5376B" w:rsidRPr="004954FE" w:rsidRDefault="00B5376B" w:rsidP="00861305">
            <w:pPr>
              <w:rPr>
                <w:rFonts w:cstheme="minorHAnsi"/>
                <w:sz w:val="21"/>
                <w:szCs w:val="21"/>
              </w:rPr>
            </w:pPr>
            <w:r w:rsidRPr="004954FE">
              <w:rPr>
                <w:rFonts w:cstheme="minorHAnsi"/>
                <w:sz w:val="21"/>
                <w:szCs w:val="21"/>
              </w:rPr>
              <w:t xml:space="preserve">  </w:t>
            </w:r>
            <w:r w:rsidRPr="004954FE">
              <w:rPr>
                <w:rFonts w:cstheme="minorHAnsi"/>
                <w:noProof/>
                <w:sz w:val="21"/>
                <w:szCs w:val="21"/>
              </w:rPr>
              <w:drawing>
                <wp:inline distT="0" distB="0" distL="0" distR="0">
                  <wp:extent cx="923925" cy="847725"/>
                  <wp:effectExtent l="19050" t="0" r="9525" b="0"/>
                  <wp:docPr id="7" name="Picture 4" descr="Delaware Law of Corporations &amp; Business Organizations, Third Edition by Jesse A. Finkelstein, R. Franklin Balo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aware Law of Corporations &amp; Business Organizations, Third Edition by Jesse A. Finkelstein, R. Franklin Balotti"/>
                          <pic:cNvPicPr>
                            <a:picLocks noChangeAspect="1" noChangeArrowheads="1"/>
                          </pic:cNvPicPr>
                        </pic:nvPicPr>
                        <pic:blipFill>
                          <a:blip r:embed="rId26" cstate="print"/>
                          <a:srcRect/>
                          <a:stretch>
                            <a:fillRect/>
                          </a:stretch>
                        </pic:blipFill>
                        <pic:spPr bwMode="auto">
                          <a:xfrm>
                            <a:off x="0" y="0"/>
                            <a:ext cx="923925" cy="847725"/>
                          </a:xfrm>
                          <a:prstGeom prst="rect">
                            <a:avLst/>
                          </a:prstGeom>
                          <a:noFill/>
                          <a:ln w="9525">
                            <a:noFill/>
                            <a:miter lim="800000"/>
                            <a:headEnd/>
                            <a:tailEnd/>
                          </a:ln>
                        </pic:spPr>
                      </pic:pic>
                    </a:graphicData>
                  </a:graphic>
                </wp:inline>
              </w:drawing>
            </w:r>
          </w:p>
        </w:tc>
        <w:tc>
          <w:tcPr>
            <w:tcW w:w="1800" w:type="dxa"/>
          </w:tcPr>
          <w:p w:rsidR="00B5376B" w:rsidRPr="004954FE" w:rsidRDefault="00B5376B" w:rsidP="00861305">
            <w:pPr>
              <w:cnfStyle w:val="000000100000"/>
              <w:rPr>
                <w:rFonts w:cstheme="minorHAnsi"/>
                <w:sz w:val="21"/>
                <w:szCs w:val="21"/>
              </w:rPr>
            </w:pPr>
            <w:r w:rsidRPr="004954FE">
              <w:rPr>
                <w:rFonts w:cstheme="minorHAnsi"/>
                <w:sz w:val="21"/>
                <w:szCs w:val="21"/>
              </w:rPr>
              <w:t>2</w:t>
            </w:r>
            <w:r w:rsidRPr="004954FE">
              <w:rPr>
                <w:rFonts w:cstheme="minorHAnsi"/>
                <w:sz w:val="21"/>
                <w:szCs w:val="21"/>
                <w:vertAlign w:val="superscript"/>
              </w:rPr>
              <w:t>nd</w:t>
            </w:r>
            <w:r w:rsidRPr="004954FE">
              <w:rPr>
                <w:rFonts w:cstheme="minorHAnsi"/>
                <w:sz w:val="21"/>
                <w:szCs w:val="21"/>
              </w:rPr>
              <w:t xml:space="preserve"> Floor</w:t>
            </w:r>
          </w:p>
          <w:p w:rsidR="00B5376B" w:rsidRPr="004954FE" w:rsidRDefault="00B5376B" w:rsidP="00861305">
            <w:pPr>
              <w:cnfStyle w:val="000000100000"/>
              <w:rPr>
                <w:rFonts w:cstheme="minorHAnsi"/>
                <w:sz w:val="21"/>
                <w:szCs w:val="21"/>
              </w:rPr>
            </w:pPr>
            <w:r w:rsidRPr="004954FE">
              <w:rPr>
                <w:rFonts w:cstheme="minorHAnsi"/>
                <w:sz w:val="21"/>
                <w:szCs w:val="21"/>
              </w:rPr>
              <w:t>KFD213 .B353</w:t>
            </w:r>
          </w:p>
        </w:tc>
        <w:tc>
          <w:tcPr>
            <w:tcW w:w="5328" w:type="dxa"/>
          </w:tcPr>
          <w:p w:rsidR="00B5376B" w:rsidRPr="004954FE" w:rsidRDefault="00B5376B" w:rsidP="00861305">
            <w:pPr>
              <w:cnfStyle w:val="000000100000"/>
              <w:rPr>
                <w:rFonts w:cstheme="minorHAnsi"/>
                <w:sz w:val="21"/>
                <w:szCs w:val="21"/>
              </w:rPr>
            </w:pPr>
            <w:r w:rsidRPr="004954FE">
              <w:rPr>
                <w:rFonts w:cstheme="minorHAnsi"/>
                <w:sz w:val="21"/>
                <w:szCs w:val="21"/>
              </w:rPr>
              <w:t>This three volume loose-leaf set provides extensive coverage of Corporate Law in Delaware with the first volume and part of the second devoted exclusively to explanatory text on the formation and governance of corporations and other business entities.  The balance of the second volume and the entire third volume are devoted to statutes and forms, respectively.   The set is also available on Westlaw (</w:t>
            </w:r>
            <w:hyperlink r:id="rId27" w:history="1">
              <w:r w:rsidRPr="0061317E">
                <w:rPr>
                  <w:rStyle w:val="Hyperlink"/>
                  <w:rFonts w:cstheme="minorHAnsi"/>
                  <w:color w:val="2828FF" w:themeColor="text2" w:themeTint="99"/>
                  <w:sz w:val="21"/>
                  <w:szCs w:val="21"/>
                </w:rPr>
                <w:t>DELCBO</w:t>
              </w:r>
            </w:hyperlink>
            <w:r w:rsidRPr="004954FE">
              <w:rPr>
                <w:rFonts w:cstheme="minorHAnsi"/>
                <w:sz w:val="21"/>
                <w:szCs w:val="21"/>
              </w:rPr>
              <w:t>).</w:t>
            </w:r>
          </w:p>
        </w:tc>
      </w:tr>
    </w:tbl>
    <w:p w:rsidR="00733B3E" w:rsidRDefault="00733B3E">
      <w:pPr>
        <w:rPr>
          <w:rFonts w:ascii="Garamond" w:hAnsi="Garamond"/>
          <w:sz w:val="24"/>
          <w:szCs w:val="24"/>
        </w:rPr>
      </w:pPr>
    </w:p>
    <w:p w:rsidR="00B8384C" w:rsidRPr="004954FE" w:rsidRDefault="00B8384C" w:rsidP="004954FE">
      <w:pPr>
        <w:pStyle w:val="Heading1"/>
        <w:rPr>
          <w:sz w:val="32"/>
          <w:szCs w:val="32"/>
        </w:rPr>
      </w:pPr>
      <w:r w:rsidRPr="004954FE">
        <w:rPr>
          <w:sz w:val="32"/>
          <w:szCs w:val="32"/>
        </w:rPr>
        <w:lastRenderedPageBreak/>
        <w:t>Secondary Sources (continued):</w:t>
      </w:r>
    </w:p>
    <w:tbl>
      <w:tblPr>
        <w:tblStyle w:val="LightList-Accent1"/>
        <w:tblW w:w="0" w:type="auto"/>
        <w:tblLook w:val="04A0"/>
      </w:tblPr>
      <w:tblGrid>
        <w:gridCol w:w="2448"/>
        <w:gridCol w:w="1800"/>
        <w:gridCol w:w="5328"/>
      </w:tblGrid>
      <w:tr w:rsidR="000B5DB3" w:rsidRPr="004954FE" w:rsidTr="004954FE">
        <w:trPr>
          <w:cnfStyle w:val="100000000000"/>
        </w:trPr>
        <w:tc>
          <w:tcPr>
            <w:cnfStyle w:val="001000000000"/>
            <w:tcW w:w="2448" w:type="dxa"/>
          </w:tcPr>
          <w:p w:rsidR="000B5DB3" w:rsidRPr="004954FE" w:rsidRDefault="000B5DB3" w:rsidP="00861305">
            <w:pPr>
              <w:jc w:val="center"/>
              <w:rPr>
                <w:rFonts w:asciiTheme="majorHAnsi" w:hAnsiTheme="majorHAnsi"/>
                <w:b w:val="0"/>
                <w:sz w:val="28"/>
                <w:szCs w:val="28"/>
              </w:rPr>
            </w:pPr>
            <w:r w:rsidRPr="004954FE">
              <w:rPr>
                <w:rFonts w:asciiTheme="majorHAnsi" w:hAnsiTheme="majorHAnsi"/>
                <w:sz w:val="28"/>
                <w:szCs w:val="28"/>
              </w:rPr>
              <w:t>Title</w:t>
            </w:r>
          </w:p>
        </w:tc>
        <w:tc>
          <w:tcPr>
            <w:tcW w:w="1800" w:type="dxa"/>
          </w:tcPr>
          <w:p w:rsidR="000B5DB3" w:rsidRPr="004954FE" w:rsidRDefault="000B5DB3" w:rsidP="00861305">
            <w:pPr>
              <w:jc w:val="center"/>
              <w:cnfStyle w:val="100000000000"/>
              <w:rPr>
                <w:rFonts w:asciiTheme="majorHAnsi" w:hAnsiTheme="majorHAnsi"/>
                <w:b w:val="0"/>
                <w:sz w:val="28"/>
                <w:szCs w:val="28"/>
              </w:rPr>
            </w:pPr>
            <w:r w:rsidRPr="004954FE">
              <w:rPr>
                <w:rFonts w:asciiTheme="majorHAnsi" w:hAnsiTheme="majorHAnsi"/>
                <w:sz w:val="28"/>
                <w:szCs w:val="28"/>
              </w:rPr>
              <w:t>Location</w:t>
            </w:r>
          </w:p>
        </w:tc>
        <w:tc>
          <w:tcPr>
            <w:tcW w:w="5328" w:type="dxa"/>
          </w:tcPr>
          <w:p w:rsidR="000B5DB3" w:rsidRPr="004954FE" w:rsidRDefault="000B5DB3" w:rsidP="00861305">
            <w:pPr>
              <w:jc w:val="center"/>
              <w:cnfStyle w:val="100000000000"/>
              <w:rPr>
                <w:rFonts w:asciiTheme="majorHAnsi" w:hAnsiTheme="majorHAnsi"/>
                <w:b w:val="0"/>
                <w:sz w:val="28"/>
                <w:szCs w:val="28"/>
              </w:rPr>
            </w:pPr>
            <w:r w:rsidRPr="004954FE">
              <w:rPr>
                <w:rFonts w:asciiTheme="majorHAnsi" w:hAnsiTheme="majorHAnsi"/>
                <w:sz w:val="28"/>
                <w:szCs w:val="28"/>
              </w:rPr>
              <w:t>Description</w:t>
            </w:r>
          </w:p>
        </w:tc>
      </w:tr>
      <w:tr w:rsidR="008D6CC6" w:rsidTr="004954FE">
        <w:trPr>
          <w:cnfStyle w:val="000000100000"/>
        </w:trPr>
        <w:tc>
          <w:tcPr>
            <w:cnfStyle w:val="001000000000"/>
            <w:tcW w:w="2448" w:type="dxa"/>
          </w:tcPr>
          <w:p w:rsidR="008D6CC6" w:rsidRPr="004D3624" w:rsidRDefault="008D6CC6" w:rsidP="00861305">
            <w:pPr>
              <w:rPr>
                <w:rFonts w:cstheme="minorHAnsi"/>
                <w:sz w:val="21"/>
                <w:szCs w:val="21"/>
              </w:rPr>
            </w:pPr>
            <w:r w:rsidRPr="004D3624">
              <w:rPr>
                <w:rFonts w:cstheme="minorHAnsi"/>
                <w:sz w:val="21"/>
                <w:szCs w:val="21"/>
              </w:rPr>
              <w:t>Treatise on the Law of Securities Regulation</w:t>
            </w:r>
          </w:p>
          <w:p w:rsidR="008D6CC6" w:rsidRPr="004D3624" w:rsidRDefault="008D6CC6" w:rsidP="00861305">
            <w:pPr>
              <w:rPr>
                <w:rFonts w:cstheme="minorHAnsi"/>
                <w:sz w:val="21"/>
                <w:szCs w:val="21"/>
              </w:rPr>
            </w:pPr>
            <w:r w:rsidRPr="004D3624">
              <w:rPr>
                <w:rFonts w:cstheme="minorHAnsi"/>
                <w:sz w:val="21"/>
                <w:szCs w:val="21"/>
              </w:rPr>
              <w:t xml:space="preserve">  </w:t>
            </w:r>
            <w:r w:rsidRPr="004D3624">
              <w:rPr>
                <w:rFonts w:cstheme="minorHAnsi"/>
                <w:noProof/>
                <w:sz w:val="21"/>
                <w:szCs w:val="21"/>
              </w:rPr>
              <w:drawing>
                <wp:inline distT="0" distB="0" distL="0" distR="0">
                  <wp:extent cx="847725" cy="994718"/>
                  <wp:effectExtent l="19050" t="0" r="9525" b="0"/>
                  <wp:docPr id="40" name="ctl00_placeHolderTopNavigation_placeHolderContent_ctl00_productImage" descr="Hazen's Treatise on the Law of Securities Regulation, 6th (Practit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TopNavigation_placeHolderContent_ctl00_productImage" descr="Hazen's Treatise on the Law of Securities Regulation, 6th (Practitione..."/>
                          <pic:cNvPicPr>
                            <a:picLocks noChangeAspect="1" noChangeArrowheads="1"/>
                          </pic:cNvPicPr>
                        </pic:nvPicPr>
                        <pic:blipFill>
                          <a:blip r:embed="rId28" cstate="print"/>
                          <a:srcRect/>
                          <a:stretch>
                            <a:fillRect/>
                          </a:stretch>
                        </pic:blipFill>
                        <pic:spPr bwMode="auto">
                          <a:xfrm>
                            <a:off x="0" y="0"/>
                            <a:ext cx="852775" cy="1000643"/>
                          </a:xfrm>
                          <a:prstGeom prst="rect">
                            <a:avLst/>
                          </a:prstGeom>
                          <a:noFill/>
                          <a:ln w="9525">
                            <a:noFill/>
                            <a:miter lim="800000"/>
                            <a:headEnd/>
                            <a:tailEnd/>
                          </a:ln>
                        </pic:spPr>
                      </pic:pic>
                    </a:graphicData>
                  </a:graphic>
                </wp:inline>
              </w:drawing>
            </w:r>
          </w:p>
        </w:tc>
        <w:tc>
          <w:tcPr>
            <w:tcW w:w="1800" w:type="dxa"/>
          </w:tcPr>
          <w:p w:rsidR="008D6CC6" w:rsidRPr="004D3624" w:rsidRDefault="008D6CC6" w:rsidP="00861305">
            <w:pPr>
              <w:cnfStyle w:val="000000100000"/>
              <w:rPr>
                <w:rFonts w:cstheme="minorHAnsi"/>
                <w:sz w:val="21"/>
                <w:szCs w:val="21"/>
              </w:rPr>
            </w:pPr>
            <w:r w:rsidRPr="004D3624">
              <w:rPr>
                <w:rFonts w:cstheme="minorHAnsi"/>
                <w:sz w:val="21"/>
                <w:szCs w:val="21"/>
              </w:rPr>
              <w:t>2</w:t>
            </w:r>
            <w:r w:rsidRPr="004D3624">
              <w:rPr>
                <w:rFonts w:cstheme="minorHAnsi"/>
                <w:sz w:val="21"/>
                <w:szCs w:val="21"/>
                <w:vertAlign w:val="superscript"/>
              </w:rPr>
              <w:t>nd</w:t>
            </w:r>
            <w:r w:rsidRPr="004D3624">
              <w:rPr>
                <w:rFonts w:cstheme="minorHAnsi"/>
                <w:sz w:val="21"/>
                <w:szCs w:val="21"/>
              </w:rPr>
              <w:t xml:space="preserve"> Floor KF1439 .H39</w:t>
            </w:r>
          </w:p>
        </w:tc>
        <w:tc>
          <w:tcPr>
            <w:tcW w:w="5328" w:type="dxa"/>
          </w:tcPr>
          <w:p w:rsidR="008D6CC6" w:rsidRPr="004D3624" w:rsidRDefault="008D6CC6" w:rsidP="002C4AB4">
            <w:pPr>
              <w:cnfStyle w:val="000000100000"/>
              <w:rPr>
                <w:rFonts w:cstheme="minorHAnsi"/>
                <w:sz w:val="21"/>
                <w:szCs w:val="21"/>
              </w:rPr>
            </w:pPr>
            <w:r w:rsidRPr="004D3624">
              <w:rPr>
                <w:rFonts w:cstheme="minorHAnsi"/>
                <w:sz w:val="21"/>
                <w:szCs w:val="21"/>
              </w:rPr>
              <w:t>Hazen’s 7 volume treatise focuses primarily on the regulation of securities at the federal level, including registration and reporting requirements, exemptions and liability issues.</w:t>
            </w:r>
            <w:r w:rsidR="00B25928" w:rsidRPr="004D3624">
              <w:rPr>
                <w:rFonts w:cstheme="minorHAnsi"/>
                <w:sz w:val="21"/>
                <w:szCs w:val="21"/>
              </w:rPr>
              <w:t xml:space="preserve">  </w:t>
            </w:r>
            <w:r w:rsidR="002C4AB4" w:rsidRPr="004D3624">
              <w:rPr>
                <w:rFonts w:cstheme="minorHAnsi"/>
                <w:sz w:val="21"/>
                <w:szCs w:val="21"/>
              </w:rPr>
              <w:t>The set begins with a general overview of securities law practice before covering individual topics in greater detail.</w:t>
            </w:r>
            <w:r w:rsidRPr="004D3624">
              <w:rPr>
                <w:rFonts w:cstheme="minorHAnsi"/>
                <w:sz w:val="21"/>
                <w:szCs w:val="21"/>
              </w:rPr>
              <w:t xml:space="preserve">  The </w:t>
            </w:r>
            <w:r w:rsidR="002C4AB4" w:rsidRPr="004D3624">
              <w:rPr>
                <w:rFonts w:cstheme="minorHAnsi"/>
                <w:sz w:val="21"/>
                <w:szCs w:val="21"/>
              </w:rPr>
              <w:t>set</w:t>
            </w:r>
            <w:r w:rsidRPr="004D3624">
              <w:rPr>
                <w:rFonts w:cstheme="minorHAnsi"/>
                <w:sz w:val="21"/>
                <w:szCs w:val="21"/>
              </w:rPr>
              <w:t xml:space="preserve"> is also available on Westlaw (</w:t>
            </w:r>
            <w:hyperlink r:id="rId29" w:history="1">
              <w:r w:rsidRPr="0061317E">
                <w:rPr>
                  <w:rStyle w:val="Hyperlink"/>
                  <w:rFonts w:cstheme="minorHAnsi"/>
                  <w:color w:val="2828FF" w:themeColor="text2" w:themeTint="99"/>
                  <w:sz w:val="21"/>
                  <w:szCs w:val="21"/>
                </w:rPr>
                <w:t>LAWSECREG</w:t>
              </w:r>
            </w:hyperlink>
            <w:r w:rsidRPr="004D3624">
              <w:rPr>
                <w:rFonts w:cstheme="minorHAnsi"/>
                <w:sz w:val="21"/>
                <w:szCs w:val="21"/>
              </w:rPr>
              <w:t>).</w:t>
            </w:r>
          </w:p>
        </w:tc>
      </w:tr>
      <w:tr w:rsidR="00436F0A" w:rsidTr="004954FE">
        <w:trPr>
          <w:trHeight w:val="1070"/>
        </w:trPr>
        <w:tc>
          <w:tcPr>
            <w:cnfStyle w:val="001000000000"/>
            <w:tcW w:w="2448" w:type="dxa"/>
          </w:tcPr>
          <w:p w:rsidR="00436F0A" w:rsidRPr="004D3624" w:rsidRDefault="00436F0A" w:rsidP="00861305">
            <w:pPr>
              <w:rPr>
                <w:rFonts w:cstheme="minorHAnsi"/>
                <w:sz w:val="21"/>
                <w:szCs w:val="21"/>
              </w:rPr>
            </w:pPr>
            <w:r w:rsidRPr="004D3624">
              <w:rPr>
                <w:rFonts w:cstheme="minorHAnsi"/>
                <w:sz w:val="21"/>
                <w:szCs w:val="21"/>
              </w:rPr>
              <w:t>West’s Texas Forms</w:t>
            </w:r>
            <w:r w:rsidR="0077749E" w:rsidRPr="004D3624">
              <w:rPr>
                <w:rFonts w:cstheme="minorHAnsi"/>
                <w:sz w:val="21"/>
                <w:szCs w:val="21"/>
              </w:rPr>
              <w:t>: Business Entities</w:t>
            </w:r>
          </w:p>
          <w:p w:rsidR="00C67774" w:rsidRPr="004D3624" w:rsidRDefault="00C67774" w:rsidP="00861305">
            <w:pPr>
              <w:rPr>
                <w:rFonts w:cstheme="minorHAnsi"/>
                <w:sz w:val="21"/>
                <w:szCs w:val="21"/>
              </w:rPr>
            </w:pPr>
          </w:p>
          <w:p w:rsidR="00436F0A" w:rsidRPr="004D3624" w:rsidRDefault="00436F0A" w:rsidP="00861305">
            <w:pPr>
              <w:rPr>
                <w:rFonts w:cstheme="minorHAnsi"/>
                <w:sz w:val="21"/>
                <w:szCs w:val="21"/>
              </w:rPr>
            </w:pPr>
            <w:r w:rsidRPr="004D3624">
              <w:rPr>
                <w:rFonts w:cstheme="minorHAnsi"/>
                <w:sz w:val="21"/>
                <w:szCs w:val="21"/>
              </w:rPr>
              <w:t xml:space="preserve">  </w:t>
            </w:r>
            <w:r w:rsidRPr="004D3624">
              <w:rPr>
                <w:rFonts w:cstheme="minorHAnsi"/>
                <w:noProof/>
                <w:sz w:val="21"/>
                <w:szCs w:val="21"/>
              </w:rPr>
              <w:drawing>
                <wp:inline distT="0" distB="0" distL="0" distR="0">
                  <wp:extent cx="1095375" cy="1295400"/>
                  <wp:effectExtent l="19050" t="0" r="9525" b="0"/>
                  <wp:docPr id="43" name="Picture 9" descr="Business Entities (Vols. 8 &amp; 8A, West's&amp;#174; Texas Forms)"/>
                  <wp:cNvGraphicFramePr/>
                  <a:graphic xmlns:a="http://schemas.openxmlformats.org/drawingml/2006/main">
                    <a:graphicData uri="http://schemas.openxmlformats.org/drawingml/2006/picture">
                      <pic:pic xmlns:pic="http://schemas.openxmlformats.org/drawingml/2006/picture">
                        <pic:nvPicPr>
                          <pic:cNvPr id="37890" name="Picture 2" descr="Business Entities (Vols. 8 &amp; 8A, West's&amp;#174; Texas Forms)"/>
                          <pic:cNvPicPr>
                            <a:picLocks noChangeAspect="1" noChangeArrowheads="1"/>
                          </pic:cNvPicPr>
                        </pic:nvPicPr>
                        <pic:blipFill>
                          <a:blip r:embed="rId30" cstate="print"/>
                          <a:srcRect/>
                          <a:stretch>
                            <a:fillRect/>
                          </a:stretch>
                        </pic:blipFill>
                        <pic:spPr bwMode="auto">
                          <a:xfrm>
                            <a:off x="0" y="0"/>
                            <a:ext cx="1095375" cy="1295400"/>
                          </a:xfrm>
                          <a:prstGeom prst="rect">
                            <a:avLst/>
                          </a:prstGeom>
                          <a:noFill/>
                        </pic:spPr>
                      </pic:pic>
                    </a:graphicData>
                  </a:graphic>
                </wp:inline>
              </w:drawing>
            </w:r>
          </w:p>
        </w:tc>
        <w:tc>
          <w:tcPr>
            <w:tcW w:w="1800" w:type="dxa"/>
          </w:tcPr>
          <w:p w:rsidR="00436F0A" w:rsidRPr="004D3624" w:rsidRDefault="00D07B62" w:rsidP="00861305">
            <w:pPr>
              <w:cnfStyle w:val="000000000000"/>
              <w:rPr>
                <w:rFonts w:cstheme="minorHAnsi"/>
                <w:sz w:val="21"/>
                <w:szCs w:val="21"/>
              </w:rPr>
            </w:pPr>
            <w:r w:rsidRPr="004D3624">
              <w:rPr>
                <w:rFonts w:cstheme="minorHAnsi"/>
                <w:sz w:val="21"/>
                <w:szCs w:val="21"/>
              </w:rPr>
              <w:t>Circulation Desk</w:t>
            </w:r>
          </w:p>
          <w:p w:rsidR="004676D4" w:rsidRPr="004D3624" w:rsidRDefault="004676D4" w:rsidP="00861305">
            <w:pPr>
              <w:cnfStyle w:val="000000000000"/>
              <w:rPr>
                <w:rFonts w:cstheme="minorHAnsi"/>
                <w:sz w:val="21"/>
                <w:szCs w:val="21"/>
              </w:rPr>
            </w:pPr>
            <w:r w:rsidRPr="004D3624">
              <w:rPr>
                <w:rFonts w:cstheme="minorHAnsi"/>
                <w:sz w:val="21"/>
                <w:szCs w:val="21"/>
              </w:rPr>
              <w:t>KFT1268 .W477</w:t>
            </w:r>
          </w:p>
        </w:tc>
        <w:tc>
          <w:tcPr>
            <w:tcW w:w="5328" w:type="dxa"/>
          </w:tcPr>
          <w:p w:rsidR="00436F0A" w:rsidRPr="004D3624" w:rsidRDefault="0077749E" w:rsidP="00A24C08">
            <w:pPr>
              <w:cnfStyle w:val="000000000000"/>
              <w:rPr>
                <w:rFonts w:cstheme="minorHAnsi"/>
                <w:sz w:val="21"/>
                <w:szCs w:val="21"/>
              </w:rPr>
            </w:pPr>
            <w:r w:rsidRPr="004D3624">
              <w:rPr>
                <w:rFonts w:cstheme="minorHAnsi"/>
                <w:sz w:val="21"/>
                <w:szCs w:val="21"/>
              </w:rPr>
              <w:t xml:space="preserve">Volumes 8 and 8A of West’s Texas Forms provide </w:t>
            </w:r>
            <w:r w:rsidR="009A1F88" w:rsidRPr="004D3624">
              <w:rPr>
                <w:rFonts w:cstheme="minorHAnsi"/>
                <w:sz w:val="21"/>
                <w:szCs w:val="21"/>
              </w:rPr>
              <w:t xml:space="preserve">guidance </w:t>
            </w:r>
            <w:r w:rsidRPr="004D3624">
              <w:rPr>
                <w:rFonts w:cstheme="minorHAnsi"/>
                <w:sz w:val="21"/>
                <w:szCs w:val="21"/>
              </w:rPr>
              <w:t>for</w:t>
            </w:r>
            <w:r w:rsidR="009A1F88" w:rsidRPr="004D3624">
              <w:rPr>
                <w:rFonts w:cstheme="minorHAnsi"/>
                <w:sz w:val="21"/>
                <w:szCs w:val="21"/>
              </w:rPr>
              <w:t xml:space="preserve"> drafting a vast array of documents related to </w:t>
            </w:r>
            <w:r w:rsidRPr="004D3624">
              <w:rPr>
                <w:rFonts w:cstheme="minorHAnsi"/>
                <w:sz w:val="21"/>
                <w:szCs w:val="21"/>
              </w:rPr>
              <w:t>corporate practice</w:t>
            </w:r>
            <w:r w:rsidR="00A24C08" w:rsidRPr="004D3624">
              <w:rPr>
                <w:rFonts w:cstheme="minorHAnsi"/>
                <w:sz w:val="21"/>
                <w:szCs w:val="21"/>
              </w:rPr>
              <w:t xml:space="preserve"> in Texas</w:t>
            </w:r>
            <w:r w:rsidR="009A1F88" w:rsidRPr="004D3624">
              <w:rPr>
                <w:rFonts w:cstheme="minorHAnsi"/>
                <w:sz w:val="21"/>
                <w:szCs w:val="21"/>
              </w:rPr>
              <w:t xml:space="preserve">.  </w:t>
            </w:r>
            <w:r w:rsidR="008A38B1" w:rsidRPr="004D3624">
              <w:rPr>
                <w:rFonts w:cstheme="minorHAnsi"/>
                <w:sz w:val="21"/>
                <w:szCs w:val="21"/>
              </w:rPr>
              <w:t>Forms</w:t>
            </w:r>
            <w:r w:rsidR="009A1F88" w:rsidRPr="004D3624">
              <w:rPr>
                <w:rFonts w:cstheme="minorHAnsi"/>
                <w:sz w:val="21"/>
                <w:szCs w:val="21"/>
              </w:rPr>
              <w:t xml:space="preserve"> relating to s</w:t>
            </w:r>
            <w:r w:rsidRPr="004D3624">
              <w:rPr>
                <w:rFonts w:cstheme="minorHAnsi"/>
                <w:sz w:val="21"/>
                <w:szCs w:val="21"/>
              </w:rPr>
              <w:t>tate and federal taxation and securities regulation</w:t>
            </w:r>
            <w:r w:rsidR="009A1F88" w:rsidRPr="004D3624">
              <w:rPr>
                <w:rFonts w:cstheme="minorHAnsi"/>
                <w:sz w:val="21"/>
                <w:szCs w:val="21"/>
              </w:rPr>
              <w:t xml:space="preserve"> are presented along with </w:t>
            </w:r>
            <w:r w:rsidRPr="004D3624">
              <w:rPr>
                <w:rFonts w:cstheme="minorHAnsi"/>
                <w:sz w:val="21"/>
                <w:szCs w:val="21"/>
              </w:rPr>
              <w:t>examples of internal an</w:t>
            </w:r>
            <w:r w:rsidR="00C67774" w:rsidRPr="004D3624">
              <w:rPr>
                <w:rFonts w:cstheme="minorHAnsi"/>
                <w:sz w:val="21"/>
                <w:szCs w:val="21"/>
              </w:rPr>
              <w:t>d</w:t>
            </w:r>
            <w:r w:rsidRPr="004D3624">
              <w:rPr>
                <w:rFonts w:cstheme="minorHAnsi"/>
                <w:sz w:val="21"/>
                <w:szCs w:val="21"/>
              </w:rPr>
              <w:t xml:space="preserve"> external communications, formation and governance documents, and other</w:t>
            </w:r>
            <w:r w:rsidR="00C67774" w:rsidRPr="004D3624">
              <w:rPr>
                <w:rFonts w:cstheme="minorHAnsi"/>
                <w:sz w:val="21"/>
                <w:szCs w:val="21"/>
              </w:rPr>
              <w:t xml:space="preserve"> sample</w:t>
            </w:r>
            <w:r w:rsidRPr="004D3624">
              <w:rPr>
                <w:rFonts w:cstheme="minorHAnsi"/>
                <w:sz w:val="21"/>
                <w:szCs w:val="21"/>
              </w:rPr>
              <w:t xml:space="preserve"> </w:t>
            </w:r>
            <w:r w:rsidR="00C67774" w:rsidRPr="004D3624">
              <w:rPr>
                <w:rFonts w:cstheme="minorHAnsi"/>
                <w:sz w:val="21"/>
                <w:szCs w:val="21"/>
              </w:rPr>
              <w:t>documents</w:t>
            </w:r>
            <w:r w:rsidRPr="004D3624">
              <w:rPr>
                <w:rFonts w:cstheme="minorHAnsi"/>
                <w:sz w:val="21"/>
                <w:szCs w:val="21"/>
              </w:rPr>
              <w:t xml:space="preserve"> for corporations and other</w:t>
            </w:r>
            <w:r w:rsidR="009A1F88" w:rsidRPr="004D3624">
              <w:rPr>
                <w:rFonts w:cstheme="minorHAnsi"/>
                <w:sz w:val="21"/>
                <w:szCs w:val="21"/>
              </w:rPr>
              <w:t xml:space="preserve"> </w:t>
            </w:r>
            <w:r w:rsidRPr="004D3624">
              <w:rPr>
                <w:rFonts w:cstheme="minorHAnsi"/>
                <w:sz w:val="21"/>
                <w:szCs w:val="21"/>
              </w:rPr>
              <w:t>business</w:t>
            </w:r>
            <w:r w:rsidR="009A1F88" w:rsidRPr="004D3624">
              <w:rPr>
                <w:rFonts w:cstheme="minorHAnsi"/>
                <w:sz w:val="21"/>
                <w:szCs w:val="21"/>
              </w:rPr>
              <w:t>es</w:t>
            </w:r>
            <w:r w:rsidRPr="004D3624">
              <w:rPr>
                <w:rFonts w:cstheme="minorHAnsi"/>
                <w:sz w:val="21"/>
                <w:szCs w:val="21"/>
              </w:rPr>
              <w:t>.</w:t>
            </w:r>
            <w:r w:rsidR="00C67774" w:rsidRPr="004D3624">
              <w:rPr>
                <w:rFonts w:cstheme="minorHAnsi"/>
                <w:sz w:val="21"/>
                <w:szCs w:val="21"/>
              </w:rPr>
              <w:t xml:space="preserve">  Each chapter includes a brief introduction providing background information while individual forms include cross-references to statutes and other materials</w:t>
            </w:r>
            <w:r w:rsidR="009A1F88" w:rsidRPr="004D3624">
              <w:rPr>
                <w:rFonts w:cstheme="minorHAnsi"/>
                <w:sz w:val="21"/>
                <w:szCs w:val="21"/>
              </w:rPr>
              <w:t xml:space="preserve"> as well as brief</w:t>
            </w:r>
            <w:r w:rsidR="00C67774" w:rsidRPr="004D3624">
              <w:rPr>
                <w:rFonts w:cstheme="minorHAnsi"/>
                <w:sz w:val="21"/>
                <w:szCs w:val="21"/>
              </w:rPr>
              <w:t xml:space="preserve"> explanatory notes</w:t>
            </w:r>
            <w:r w:rsidR="009A1F88" w:rsidRPr="004D3624">
              <w:rPr>
                <w:rFonts w:cstheme="minorHAnsi"/>
                <w:sz w:val="21"/>
                <w:szCs w:val="21"/>
              </w:rPr>
              <w:t xml:space="preserve"> offering additional guidance</w:t>
            </w:r>
            <w:r w:rsidR="00C67774" w:rsidRPr="004D3624">
              <w:rPr>
                <w:rFonts w:cstheme="minorHAnsi"/>
                <w:sz w:val="21"/>
                <w:szCs w:val="21"/>
              </w:rPr>
              <w:t xml:space="preserve">. </w:t>
            </w:r>
            <w:r w:rsidR="00622345" w:rsidRPr="004D3624">
              <w:rPr>
                <w:rFonts w:cstheme="minorHAnsi"/>
                <w:sz w:val="21"/>
                <w:szCs w:val="21"/>
              </w:rPr>
              <w:t xml:space="preserve"> Also available on Westlaw</w:t>
            </w:r>
            <w:r w:rsidR="00806C4B" w:rsidRPr="004D3624">
              <w:rPr>
                <w:rFonts w:cstheme="minorHAnsi"/>
                <w:sz w:val="21"/>
                <w:szCs w:val="21"/>
              </w:rPr>
              <w:t xml:space="preserve"> (</w:t>
            </w:r>
            <w:hyperlink r:id="rId31" w:history="1">
              <w:r w:rsidR="00806C4B" w:rsidRPr="0061317E">
                <w:rPr>
                  <w:rStyle w:val="Hyperlink"/>
                  <w:rFonts w:cstheme="minorHAnsi"/>
                  <w:color w:val="2828FF" w:themeColor="text2" w:themeTint="99"/>
                  <w:sz w:val="21"/>
                  <w:szCs w:val="21"/>
                </w:rPr>
                <w:t>TXFORMS</w:t>
              </w:r>
            </w:hyperlink>
            <w:r w:rsidR="00806C4B" w:rsidRPr="004D3624">
              <w:rPr>
                <w:rFonts w:cstheme="minorHAnsi"/>
                <w:sz w:val="21"/>
                <w:szCs w:val="21"/>
              </w:rPr>
              <w:t>)</w:t>
            </w:r>
          </w:p>
        </w:tc>
      </w:tr>
    </w:tbl>
    <w:p w:rsidR="000D5784" w:rsidRPr="004954FE" w:rsidRDefault="000D5784">
      <w:pPr>
        <w:rPr>
          <w:rFonts w:cstheme="minorHAnsi"/>
          <w:sz w:val="24"/>
          <w:szCs w:val="24"/>
        </w:rPr>
      </w:pPr>
    </w:p>
    <w:p w:rsidR="00806C4B" w:rsidRPr="004954FE" w:rsidRDefault="00806C4B" w:rsidP="00806C4B">
      <w:pPr>
        <w:rPr>
          <w:rFonts w:cstheme="minorHAnsi"/>
          <w:sz w:val="24"/>
          <w:szCs w:val="24"/>
        </w:rPr>
      </w:pPr>
      <w:r w:rsidRPr="004954FE">
        <w:rPr>
          <w:rFonts w:cstheme="minorHAnsi"/>
          <w:sz w:val="24"/>
          <w:szCs w:val="24"/>
        </w:rPr>
        <w:t xml:space="preserve">Note: General Materials on Business Organizations, Agency, Securities, etc. can be found on the second floor of the Law Library and in the Reserve Room between KF1341 – </w:t>
      </w:r>
      <w:r w:rsidR="00EB7CF5" w:rsidRPr="004954FE">
        <w:rPr>
          <w:rFonts w:cstheme="minorHAnsi"/>
          <w:sz w:val="24"/>
          <w:szCs w:val="24"/>
        </w:rPr>
        <w:t>KF</w:t>
      </w:r>
      <w:r w:rsidRPr="004954FE">
        <w:rPr>
          <w:rFonts w:cstheme="minorHAnsi"/>
          <w:sz w:val="24"/>
          <w:szCs w:val="24"/>
        </w:rPr>
        <w:t xml:space="preserve">1480. </w:t>
      </w:r>
    </w:p>
    <w:p w:rsidR="00806C4B" w:rsidRDefault="00806C4B">
      <w:pPr>
        <w:rPr>
          <w:rFonts w:ascii="Garamond" w:hAnsi="Garamond"/>
          <w:sz w:val="24"/>
          <w:szCs w:val="24"/>
        </w:rPr>
      </w:pPr>
    </w:p>
    <w:sectPr w:rsidR="00806C4B" w:rsidSect="00733B3E">
      <w:headerReference w:type="default"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01" w:rsidRDefault="00EB3001" w:rsidP="00733B3E">
      <w:pPr>
        <w:spacing w:after="0" w:line="240" w:lineRule="auto"/>
      </w:pPr>
      <w:r>
        <w:separator/>
      </w:r>
    </w:p>
  </w:endnote>
  <w:endnote w:type="continuationSeparator" w:id="0">
    <w:p w:rsidR="00EB3001" w:rsidRDefault="00EB3001" w:rsidP="00733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3E" w:rsidRPr="00872626" w:rsidRDefault="00A1017A" w:rsidP="00733B3E">
    <w:pPr>
      <w:rPr>
        <w:rFonts w:asciiTheme="majorHAnsi" w:hAnsiTheme="majorHAnsi"/>
        <w:sz w:val="24"/>
        <w:szCs w:val="24"/>
      </w:rPr>
    </w:pPr>
    <w:r w:rsidRPr="00872626">
      <w:rPr>
        <w:rFonts w:asciiTheme="majorHAnsi" w:hAnsiTheme="majorHAnsi"/>
        <w:sz w:val="24"/>
        <w:szCs w:val="24"/>
      </w:rPr>
      <w:t>Last Updated 9</w:t>
    </w:r>
    <w:r w:rsidR="008A5BDA" w:rsidRPr="00872626">
      <w:rPr>
        <w:rFonts w:asciiTheme="majorHAnsi" w:hAnsiTheme="majorHAnsi"/>
        <w:sz w:val="24"/>
        <w:szCs w:val="24"/>
      </w:rPr>
      <w:t>/</w:t>
    </w:r>
    <w:r w:rsidRPr="00872626">
      <w:rPr>
        <w:rFonts w:asciiTheme="majorHAnsi" w:hAnsiTheme="majorHAnsi"/>
        <w:sz w:val="24"/>
        <w:szCs w:val="24"/>
      </w:rPr>
      <w:t>17</w:t>
    </w:r>
    <w:r w:rsidR="000D0542" w:rsidRPr="00872626">
      <w:rPr>
        <w:rFonts w:asciiTheme="majorHAnsi" w:hAnsiTheme="majorHAnsi"/>
        <w:sz w:val="24"/>
        <w:szCs w:val="24"/>
      </w:rPr>
      <w:t>/</w:t>
    </w:r>
    <w:r w:rsidRPr="00872626">
      <w:rPr>
        <w:rFonts w:asciiTheme="majorHAnsi" w:hAnsiTheme="majorHAnsi"/>
        <w:sz w:val="24"/>
        <w:szCs w:val="24"/>
      </w:rPr>
      <w:t>2013</w:t>
    </w:r>
    <w:r w:rsidR="00733B3E" w:rsidRPr="00872626">
      <w:rPr>
        <w:rFonts w:asciiTheme="majorHAnsi" w:hAnsiTheme="majorHAnsi"/>
        <w:sz w:val="24"/>
        <w:szCs w:val="24"/>
      </w:rPr>
      <w:t xml:space="preserve"> by Brian Detweiler, Faculty Services Librarian</w:t>
    </w:r>
  </w:p>
  <w:p w:rsidR="00733B3E" w:rsidRDefault="00733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01" w:rsidRDefault="00EB3001" w:rsidP="00733B3E">
      <w:pPr>
        <w:spacing w:after="0" w:line="240" w:lineRule="auto"/>
      </w:pPr>
      <w:r>
        <w:separator/>
      </w:r>
    </w:p>
  </w:footnote>
  <w:footnote w:type="continuationSeparator" w:id="0">
    <w:p w:rsidR="00EB3001" w:rsidRDefault="00EB3001" w:rsidP="00733B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226175"/>
      <w:docPartObj>
        <w:docPartGallery w:val="Page Numbers (Top of Page)"/>
        <w:docPartUnique/>
      </w:docPartObj>
    </w:sdtPr>
    <w:sdtContent>
      <w:p w:rsidR="00806C4B" w:rsidRDefault="003564D9">
        <w:pPr>
          <w:pStyle w:val="Header"/>
          <w:jc w:val="center"/>
        </w:pPr>
        <w:r w:rsidRPr="00872626">
          <w:rPr>
            <w:rFonts w:asciiTheme="majorHAnsi" w:hAnsiTheme="majorHAnsi"/>
          </w:rPr>
          <w:fldChar w:fldCharType="begin"/>
        </w:r>
        <w:r w:rsidR="005B127B" w:rsidRPr="00872626">
          <w:rPr>
            <w:rFonts w:asciiTheme="majorHAnsi" w:hAnsiTheme="majorHAnsi"/>
          </w:rPr>
          <w:instrText xml:space="preserve"> PAGE   \* MERGEFORMAT </w:instrText>
        </w:r>
        <w:r w:rsidRPr="00872626">
          <w:rPr>
            <w:rFonts w:asciiTheme="majorHAnsi" w:hAnsiTheme="majorHAnsi"/>
          </w:rPr>
          <w:fldChar w:fldCharType="separate"/>
        </w:r>
        <w:r w:rsidR="00373203">
          <w:rPr>
            <w:rFonts w:asciiTheme="majorHAnsi" w:hAnsiTheme="majorHAnsi"/>
            <w:noProof/>
          </w:rPr>
          <w:t>3</w:t>
        </w:r>
        <w:r w:rsidRPr="00872626">
          <w:rPr>
            <w:rFonts w:asciiTheme="majorHAnsi" w:hAnsiTheme="majorHAnsi"/>
          </w:rPr>
          <w:fldChar w:fldCharType="end"/>
        </w:r>
      </w:p>
    </w:sdtContent>
  </w:sdt>
  <w:p w:rsidR="00806C4B" w:rsidRDefault="00806C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1437"/>
    <w:rsid w:val="000019ED"/>
    <w:rsid w:val="000030CB"/>
    <w:rsid w:val="00024A96"/>
    <w:rsid w:val="00056C5A"/>
    <w:rsid w:val="0006761F"/>
    <w:rsid w:val="000863CA"/>
    <w:rsid w:val="000A436D"/>
    <w:rsid w:val="000B5564"/>
    <w:rsid w:val="000B5DB3"/>
    <w:rsid w:val="000C24BE"/>
    <w:rsid w:val="000C6A4A"/>
    <w:rsid w:val="000D0542"/>
    <w:rsid w:val="000D5784"/>
    <w:rsid w:val="000D7DEA"/>
    <w:rsid w:val="000E4B75"/>
    <w:rsid w:val="00100CDD"/>
    <w:rsid w:val="00101F8B"/>
    <w:rsid w:val="00110532"/>
    <w:rsid w:val="00126FB0"/>
    <w:rsid w:val="0013029F"/>
    <w:rsid w:val="00142D53"/>
    <w:rsid w:val="00145B10"/>
    <w:rsid w:val="0014779E"/>
    <w:rsid w:val="00165F5C"/>
    <w:rsid w:val="001A0BDB"/>
    <w:rsid w:val="001B1603"/>
    <w:rsid w:val="001B3834"/>
    <w:rsid w:val="001E3F46"/>
    <w:rsid w:val="001E42E2"/>
    <w:rsid w:val="001F1F87"/>
    <w:rsid w:val="00205A3A"/>
    <w:rsid w:val="00226949"/>
    <w:rsid w:val="00235471"/>
    <w:rsid w:val="00251AC3"/>
    <w:rsid w:val="00285563"/>
    <w:rsid w:val="002971D0"/>
    <w:rsid w:val="002A507F"/>
    <w:rsid w:val="002B5AEE"/>
    <w:rsid w:val="002C4AB4"/>
    <w:rsid w:val="002D59C4"/>
    <w:rsid w:val="002E09FE"/>
    <w:rsid w:val="002E39F4"/>
    <w:rsid w:val="002E4774"/>
    <w:rsid w:val="00304A7B"/>
    <w:rsid w:val="003218F3"/>
    <w:rsid w:val="00336930"/>
    <w:rsid w:val="00347AB3"/>
    <w:rsid w:val="00351C07"/>
    <w:rsid w:val="00354D3D"/>
    <w:rsid w:val="003564D9"/>
    <w:rsid w:val="00373203"/>
    <w:rsid w:val="003760EC"/>
    <w:rsid w:val="003C0CD9"/>
    <w:rsid w:val="003C540B"/>
    <w:rsid w:val="003C5E30"/>
    <w:rsid w:val="003D0C9F"/>
    <w:rsid w:val="003E3E26"/>
    <w:rsid w:val="00411437"/>
    <w:rsid w:val="00436F0A"/>
    <w:rsid w:val="004676D4"/>
    <w:rsid w:val="00472D62"/>
    <w:rsid w:val="0048008C"/>
    <w:rsid w:val="004954FE"/>
    <w:rsid w:val="004B1D7C"/>
    <w:rsid w:val="004C4D0F"/>
    <w:rsid w:val="004D3624"/>
    <w:rsid w:val="00534571"/>
    <w:rsid w:val="0054790C"/>
    <w:rsid w:val="005663FC"/>
    <w:rsid w:val="00571EA8"/>
    <w:rsid w:val="005743D3"/>
    <w:rsid w:val="00576BB0"/>
    <w:rsid w:val="00590064"/>
    <w:rsid w:val="005A6A91"/>
    <w:rsid w:val="005B127B"/>
    <w:rsid w:val="005E35CF"/>
    <w:rsid w:val="005F4473"/>
    <w:rsid w:val="00605C47"/>
    <w:rsid w:val="0061317E"/>
    <w:rsid w:val="00622345"/>
    <w:rsid w:val="00630344"/>
    <w:rsid w:val="006430DF"/>
    <w:rsid w:val="0066704D"/>
    <w:rsid w:val="00674186"/>
    <w:rsid w:val="00685B88"/>
    <w:rsid w:val="006928B1"/>
    <w:rsid w:val="006C1304"/>
    <w:rsid w:val="006C403A"/>
    <w:rsid w:val="0070768D"/>
    <w:rsid w:val="0071152A"/>
    <w:rsid w:val="007140B0"/>
    <w:rsid w:val="00733B3E"/>
    <w:rsid w:val="007407BA"/>
    <w:rsid w:val="0077749E"/>
    <w:rsid w:val="00777B4E"/>
    <w:rsid w:val="007A552D"/>
    <w:rsid w:val="007B0FC4"/>
    <w:rsid w:val="007B650A"/>
    <w:rsid w:val="007C58C7"/>
    <w:rsid w:val="00806C4B"/>
    <w:rsid w:val="0082166D"/>
    <w:rsid w:val="00831C26"/>
    <w:rsid w:val="0084151C"/>
    <w:rsid w:val="00850C9D"/>
    <w:rsid w:val="0085485C"/>
    <w:rsid w:val="00872626"/>
    <w:rsid w:val="00875BD6"/>
    <w:rsid w:val="00881F63"/>
    <w:rsid w:val="00884FE4"/>
    <w:rsid w:val="00885F42"/>
    <w:rsid w:val="008A38B1"/>
    <w:rsid w:val="008A5BDA"/>
    <w:rsid w:val="008B7E00"/>
    <w:rsid w:val="008D4255"/>
    <w:rsid w:val="008D6CC6"/>
    <w:rsid w:val="008E6FEB"/>
    <w:rsid w:val="008F68FE"/>
    <w:rsid w:val="00906C55"/>
    <w:rsid w:val="00913B80"/>
    <w:rsid w:val="009247ED"/>
    <w:rsid w:val="0094190F"/>
    <w:rsid w:val="00943F0A"/>
    <w:rsid w:val="009A1F88"/>
    <w:rsid w:val="009C39FF"/>
    <w:rsid w:val="00A02FAA"/>
    <w:rsid w:val="00A1017A"/>
    <w:rsid w:val="00A24C08"/>
    <w:rsid w:val="00A8279F"/>
    <w:rsid w:val="00AA773B"/>
    <w:rsid w:val="00AE69F6"/>
    <w:rsid w:val="00AF2D1B"/>
    <w:rsid w:val="00AF7F50"/>
    <w:rsid w:val="00B0402B"/>
    <w:rsid w:val="00B045E7"/>
    <w:rsid w:val="00B11232"/>
    <w:rsid w:val="00B25928"/>
    <w:rsid w:val="00B35D0F"/>
    <w:rsid w:val="00B4588B"/>
    <w:rsid w:val="00B5376B"/>
    <w:rsid w:val="00B8384C"/>
    <w:rsid w:val="00B9713A"/>
    <w:rsid w:val="00BD2B01"/>
    <w:rsid w:val="00BD48AA"/>
    <w:rsid w:val="00BE1FEF"/>
    <w:rsid w:val="00BF762E"/>
    <w:rsid w:val="00C06E08"/>
    <w:rsid w:val="00C34342"/>
    <w:rsid w:val="00C4440D"/>
    <w:rsid w:val="00C67774"/>
    <w:rsid w:val="00C80CC5"/>
    <w:rsid w:val="00C8500E"/>
    <w:rsid w:val="00C86BFD"/>
    <w:rsid w:val="00C92D45"/>
    <w:rsid w:val="00CB2732"/>
    <w:rsid w:val="00CD1D8F"/>
    <w:rsid w:val="00CF5CD6"/>
    <w:rsid w:val="00D07B62"/>
    <w:rsid w:val="00D66828"/>
    <w:rsid w:val="00DA5CBD"/>
    <w:rsid w:val="00DD0B5D"/>
    <w:rsid w:val="00DD4D6C"/>
    <w:rsid w:val="00DE6080"/>
    <w:rsid w:val="00DE7C02"/>
    <w:rsid w:val="00E42C09"/>
    <w:rsid w:val="00E56999"/>
    <w:rsid w:val="00E8471E"/>
    <w:rsid w:val="00EA1445"/>
    <w:rsid w:val="00EB3001"/>
    <w:rsid w:val="00EB7CF5"/>
    <w:rsid w:val="00EC4552"/>
    <w:rsid w:val="00EE6526"/>
    <w:rsid w:val="00EE7490"/>
    <w:rsid w:val="00F014A1"/>
    <w:rsid w:val="00F04F37"/>
    <w:rsid w:val="00F33E86"/>
    <w:rsid w:val="00F4516F"/>
    <w:rsid w:val="00F7032D"/>
    <w:rsid w:val="00F774A8"/>
    <w:rsid w:val="00F93D1F"/>
    <w:rsid w:val="00FA5683"/>
    <w:rsid w:val="00FC3E06"/>
    <w:rsid w:val="00FE0F40"/>
    <w:rsid w:val="00FF0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71"/>
  </w:style>
  <w:style w:type="paragraph" w:styleId="Heading1">
    <w:name w:val="heading 1"/>
    <w:basedOn w:val="Normal"/>
    <w:next w:val="Normal"/>
    <w:link w:val="Heading1Char"/>
    <w:uiPriority w:val="9"/>
    <w:qFormat/>
    <w:rsid w:val="00F93D1F"/>
    <w:pPr>
      <w:keepNext/>
      <w:keepLines/>
      <w:spacing w:before="480" w:after="0"/>
      <w:outlineLvl w:val="0"/>
    </w:pPr>
    <w:rPr>
      <w:rFonts w:asciiTheme="majorHAnsi" w:eastAsiaTheme="majorEastAsia" w:hAnsiTheme="majorHAnsi" w:cstheme="majorBidi"/>
      <w:b/>
      <w:bCs/>
      <w:color w:val="BB8C2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7ED"/>
    <w:rPr>
      <w:rFonts w:ascii="Tahoma" w:hAnsi="Tahoma" w:cs="Tahoma"/>
      <w:sz w:val="16"/>
      <w:szCs w:val="16"/>
    </w:rPr>
  </w:style>
  <w:style w:type="table" w:styleId="TableGrid">
    <w:name w:val="Table Grid"/>
    <w:basedOn w:val="TableNormal"/>
    <w:uiPriority w:val="59"/>
    <w:rsid w:val="00F01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3E"/>
  </w:style>
  <w:style w:type="paragraph" w:styleId="Footer">
    <w:name w:val="footer"/>
    <w:basedOn w:val="Normal"/>
    <w:link w:val="FooterChar"/>
    <w:uiPriority w:val="99"/>
    <w:unhideWhenUsed/>
    <w:rsid w:val="0073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B3E"/>
  </w:style>
  <w:style w:type="character" w:styleId="Hyperlink">
    <w:name w:val="Hyperlink"/>
    <w:basedOn w:val="DefaultParagraphFont"/>
    <w:uiPriority w:val="99"/>
    <w:unhideWhenUsed/>
    <w:rsid w:val="00A8279F"/>
    <w:rPr>
      <w:color w:val="B7AE80" w:themeColor="hyperlink"/>
      <w:u w:val="single"/>
    </w:rPr>
  </w:style>
  <w:style w:type="character" w:styleId="FollowedHyperlink">
    <w:name w:val="FollowedHyperlink"/>
    <w:basedOn w:val="DefaultParagraphFont"/>
    <w:uiPriority w:val="99"/>
    <w:semiHidden/>
    <w:unhideWhenUsed/>
    <w:rsid w:val="0006761F"/>
    <w:rPr>
      <w:color w:val="D99694" w:themeColor="followedHyperlink"/>
      <w:u w:val="single"/>
    </w:rPr>
  </w:style>
  <w:style w:type="paragraph" w:styleId="Title">
    <w:name w:val="Title"/>
    <w:basedOn w:val="Normal"/>
    <w:next w:val="Normal"/>
    <w:link w:val="TitleChar"/>
    <w:uiPriority w:val="10"/>
    <w:qFormat/>
    <w:rsid w:val="00354D3D"/>
    <w:pPr>
      <w:pBdr>
        <w:bottom w:val="single" w:sz="8" w:space="4" w:color="DDB14E" w:themeColor="accent1"/>
      </w:pBdr>
      <w:spacing w:after="300" w:line="240" w:lineRule="auto"/>
      <w:contextualSpacing/>
    </w:pPr>
    <w:rPr>
      <w:rFonts w:asciiTheme="majorHAnsi" w:eastAsiaTheme="majorEastAsia" w:hAnsiTheme="majorHAnsi" w:cstheme="majorBidi"/>
      <w:color w:val="000072" w:themeColor="text2" w:themeShade="BF"/>
      <w:spacing w:val="5"/>
      <w:kern w:val="28"/>
      <w:sz w:val="52"/>
      <w:szCs w:val="52"/>
    </w:rPr>
  </w:style>
  <w:style w:type="character" w:customStyle="1" w:styleId="TitleChar">
    <w:name w:val="Title Char"/>
    <w:basedOn w:val="DefaultParagraphFont"/>
    <w:link w:val="Title"/>
    <w:uiPriority w:val="10"/>
    <w:rsid w:val="00354D3D"/>
    <w:rPr>
      <w:rFonts w:asciiTheme="majorHAnsi" w:eastAsiaTheme="majorEastAsia" w:hAnsiTheme="majorHAnsi" w:cstheme="majorBidi"/>
      <w:color w:val="000072" w:themeColor="text2" w:themeShade="BF"/>
      <w:spacing w:val="5"/>
      <w:kern w:val="28"/>
      <w:sz w:val="52"/>
      <w:szCs w:val="52"/>
    </w:rPr>
  </w:style>
  <w:style w:type="character" w:customStyle="1" w:styleId="Heading1Char">
    <w:name w:val="Heading 1 Char"/>
    <w:basedOn w:val="DefaultParagraphFont"/>
    <w:link w:val="Heading1"/>
    <w:uiPriority w:val="9"/>
    <w:rsid w:val="00F93D1F"/>
    <w:rPr>
      <w:rFonts w:asciiTheme="majorHAnsi" w:eastAsiaTheme="majorEastAsia" w:hAnsiTheme="majorHAnsi" w:cstheme="majorBidi"/>
      <w:b/>
      <w:bCs/>
      <w:color w:val="BB8C24" w:themeColor="accent1" w:themeShade="BF"/>
      <w:sz w:val="28"/>
      <w:szCs w:val="28"/>
    </w:rPr>
  </w:style>
  <w:style w:type="table" w:styleId="LightList-Accent1">
    <w:name w:val="Light List Accent 1"/>
    <w:basedOn w:val="TableNormal"/>
    <w:uiPriority w:val="61"/>
    <w:rsid w:val="00F93D1F"/>
    <w:pPr>
      <w:spacing w:after="0" w:line="240" w:lineRule="auto"/>
    </w:pPr>
    <w:tblPr>
      <w:tblStyleRowBandSize w:val="1"/>
      <w:tblStyleColBandSize w:val="1"/>
      <w:tblInd w:w="0" w:type="dxa"/>
      <w:tblBorders>
        <w:top w:val="single" w:sz="8" w:space="0" w:color="DDB14E" w:themeColor="accent1"/>
        <w:left w:val="single" w:sz="8" w:space="0" w:color="DDB14E" w:themeColor="accent1"/>
        <w:bottom w:val="single" w:sz="8" w:space="0" w:color="DDB14E" w:themeColor="accent1"/>
        <w:right w:val="single" w:sz="8" w:space="0" w:color="DDB14E" w:themeColor="accent1"/>
      </w:tblBorders>
      <w:tblCellMar>
        <w:top w:w="0" w:type="dxa"/>
        <w:left w:w="108" w:type="dxa"/>
        <w:bottom w:w="0" w:type="dxa"/>
        <w:right w:w="108" w:type="dxa"/>
      </w:tblCellMar>
    </w:tblPr>
    <w:tblStylePr w:type="firstRow">
      <w:pPr>
        <w:spacing w:before="0" w:after="0" w:line="240" w:lineRule="auto"/>
      </w:pPr>
      <w:rPr>
        <w:b/>
        <w:bCs/>
        <w:color w:val="FFEDA5" w:themeColor="background1"/>
      </w:rPr>
      <w:tblPr/>
      <w:tcPr>
        <w:shd w:val="clear" w:color="auto" w:fill="DDB14E" w:themeFill="accent1"/>
      </w:tcPr>
    </w:tblStylePr>
    <w:tblStylePr w:type="lastRow">
      <w:pPr>
        <w:spacing w:before="0" w:after="0" w:line="240" w:lineRule="auto"/>
      </w:pPr>
      <w:rPr>
        <w:b/>
        <w:bCs/>
      </w:rPr>
      <w:tblPr/>
      <w:tcPr>
        <w:tcBorders>
          <w:top w:val="double" w:sz="6" w:space="0" w:color="DDB14E" w:themeColor="accent1"/>
          <w:left w:val="single" w:sz="8" w:space="0" w:color="DDB14E" w:themeColor="accent1"/>
          <w:bottom w:val="single" w:sz="8" w:space="0" w:color="DDB14E" w:themeColor="accent1"/>
          <w:right w:val="single" w:sz="8" w:space="0" w:color="DDB14E" w:themeColor="accent1"/>
        </w:tcBorders>
      </w:tcPr>
    </w:tblStylePr>
    <w:tblStylePr w:type="firstCol">
      <w:rPr>
        <w:b/>
        <w:bCs/>
      </w:rPr>
    </w:tblStylePr>
    <w:tblStylePr w:type="lastCol">
      <w:rPr>
        <w:b/>
        <w:bCs/>
      </w:rPr>
    </w:tblStylePr>
    <w:tblStylePr w:type="band1Vert">
      <w:tblPr/>
      <w:tcPr>
        <w:tcBorders>
          <w:top w:val="single" w:sz="8" w:space="0" w:color="DDB14E" w:themeColor="accent1"/>
          <w:left w:val="single" w:sz="8" w:space="0" w:color="DDB14E" w:themeColor="accent1"/>
          <w:bottom w:val="single" w:sz="8" w:space="0" w:color="DDB14E" w:themeColor="accent1"/>
          <w:right w:val="single" w:sz="8" w:space="0" w:color="DDB14E" w:themeColor="accent1"/>
        </w:tcBorders>
      </w:tcPr>
    </w:tblStylePr>
    <w:tblStylePr w:type="band1Horz">
      <w:tblPr/>
      <w:tcPr>
        <w:tcBorders>
          <w:top w:val="single" w:sz="8" w:space="0" w:color="DDB14E" w:themeColor="accent1"/>
          <w:left w:val="single" w:sz="8" w:space="0" w:color="DDB14E" w:themeColor="accent1"/>
          <w:bottom w:val="single" w:sz="8" w:space="0" w:color="DDB14E" w:themeColor="accent1"/>
          <w:right w:val="single" w:sz="8" w:space="0" w:color="DDB14E"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2.westlaw.com/search/result.aspx?db=TX-ST-ANN&amp;rs=WLW12.07&amp;vr=2.0&amp;rp=%2fsearch%2fdefault.wl&amp;sv=Split&amp;fn=_top&amp;tf=755&amp;mt=99&amp;tc=1" TargetMode="External"/><Relationship Id="rId13" Type="http://schemas.openxmlformats.org/officeDocument/2006/relationships/image" Target="media/image5.jpeg"/><Relationship Id="rId18" Type="http://schemas.openxmlformats.org/officeDocument/2006/relationships/hyperlink" Target="http://www.lexis.com/research/xlink?source=162514&amp;_category=3004666&amp;keytnum=1&amp;keyenum=24536" TargetMode="External"/><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eb2.westlaw.com/search/default.wl?db=TX-PRAC&amp;rs=WLW12.07&amp;vr=2.0&amp;rp=%2fsearch%2fdefault.wl&amp;sv=Split&amp;fn=_top&amp;mt=99" TargetMode="External"/><Relationship Id="rId29" Type="http://schemas.openxmlformats.org/officeDocument/2006/relationships/hyperlink" Target="https://web2.westlaw.com/search/default.wl?rs=WLW12.10&amp;vr=2.0&amp;rp=%2fsearch%2fdefault.wl&amp;sv=Split&amp;fn=_top&amp;mt=208&amp;DB=LAWSECRE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ore.jonesmcclure.com/OConnors-Business-Commerce-Code-Plus-2011-2012" TargetMode="External"/><Relationship Id="rId24" Type="http://schemas.openxmlformats.org/officeDocument/2006/relationships/hyperlink" Target="https://web2.westlaw.com/search/default.wl?db=TXPG-BUSTR&amp;rs=WLW12.07&amp;vr=2.0&amp;rp=%2fsearch%2fdefault.wl&amp;sv=Split&amp;fn=_top&amp;mt=99"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eb2.westlaw.com/search/default.wl?rs=WLW12.10&amp;vr=2.0&amp;rp=%2fsearch%2fdefault.wl&amp;sv=Split&amp;fn=_top&amp;mt=208&amp;DB=DE-ST-ANN" TargetMode="External"/><Relationship Id="rId23" Type="http://schemas.openxmlformats.org/officeDocument/2006/relationships/hyperlink" Target="https://web2.westlaw.com/search/default.wl?db=TXPG-BUSEN&amp;rs=WLW12.07&amp;vr=2.0&amp;rp=%2fsearch%2fdefault.wl&amp;sv=Split&amp;fn=_top&amp;mt=99"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s://web2.westlaw.com/search/default.wl?rs=WLW12.10&amp;vr=2.0&amp;rp=%2fsearch%2fdefault.wl&amp;sv=Split&amp;fn=_top&amp;mt=99&amp;DB=TXFORMS" TargetMode="External"/><Relationship Id="rId4" Type="http://schemas.openxmlformats.org/officeDocument/2006/relationships/footnotes" Target="footnotes.xml"/><Relationship Id="rId9" Type="http://schemas.openxmlformats.org/officeDocument/2006/relationships/hyperlink" Target="http://www.lexis.com/research/retrieve?_m=99c214e3805ba1608baf2b6481dfab7d&amp;_src=10630.3002804&amp;_cat=3002496&amp;tcfrmsrc=1&amp;_tcid=10630&amp;_fmtstr=TOC&amp;tcact=initial&amp;svc=toc&amp;_stateList=svc&amp;wchp=dGLzVzV-zSkAW&amp;_md5=3b204d14f5a8cf8ee203e8c28edc1b07" TargetMode="External"/><Relationship Id="rId14" Type="http://schemas.openxmlformats.org/officeDocument/2006/relationships/hyperlink" Target="http://www.lexis.com/research/retrieve?_m=be9f9c276b70b73b66a89d5a23dde5d6&amp;_src=5080.3002541&amp;_cat=3002459&amp;tcfrmsrc=1&amp;_tcid=5080&amp;_fmtstr=TOC&amp;tcact=initial&amp;svc=toc&amp;_stateList=svc&amp;wchp=dGLzVzk-zSkAA&amp;_md5=fe4bc626422fd1c241b1e467169314e1" TargetMode="External"/><Relationship Id="rId22" Type="http://schemas.openxmlformats.org/officeDocument/2006/relationships/hyperlink" Target="https://web2.westlaw.com/search/default.wl?db=TXPG-ALL&amp;rs=WLW12.07&amp;vr=2.0&amp;rp=%2fsearch%2fdefault.wl&amp;sv=Split&amp;fn=_top&amp;mt=99" TargetMode="External"/><Relationship Id="rId27" Type="http://schemas.openxmlformats.org/officeDocument/2006/relationships/hyperlink" Target="https://web2.westlaw.com/search/default.wl?db=DELCBO&amp;rs=WLW12.10&amp;vr=2.0&amp;rp=%2fsearch%2fdefault.wl&amp;sv=Split&amp;fn=_top&amp;mt=208" TargetMode="Externa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807FCB"/>
      </a:dk1>
      <a:lt1>
        <a:srgbClr val="FFEDA5"/>
      </a:lt1>
      <a:dk2>
        <a:srgbClr val="000099"/>
      </a:dk2>
      <a:lt2>
        <a:srgbClr val="FFF3C3"/>
      </a:lt2>
      <a:accent1>
        <a:srgbClr val="DDB14E"/>
      </a:accent1>
      <a:accent2>
        <a:srgbClr val="C0504D"/>
      </a:accent2>
      <a:accent3>
        <a:srgbClr val="9BBB59"/>
      </a:accent3>
      <a:accent4>
        <a:srgbClr val="8064A2"/>
      </a:accent4>
      <a:accent5>
        <a:srgbClr val="4BACC6"/>
      </a:accent5>
      <a:accent6>
        <a:srgbClr val="F79646"/>
      </a:accent6>
      <a:hlink>
        <a:srgbClr val="B7AE80"/>
      </a:hlink>
      <a:folHlink>
        <a:srgbClr val="D9969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bdetweiler</dc:creator>
  <cp:lastModifiedBy>MicroFiche</cp:lastModifiedBy>
  <cp:revision>2</cp:revision>
  <cp:lastPrinted>2013-09-18T17:16:00Z</cp:lastPrinted>
  <dcterms:created xsi:type="dcterms:W3CDTF">2014-02-17T17:03:00Z</dcterms:created>
  <dcterms:modified xsi:type="dcterms:W3CDTF">2014-02-17T17:03:00Z</dcterms:modified>
</cp:coreProperties>
</file>